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keepNext w:val="1"/>
        <w:keepLines w:val="1"/>
        <w:spacing w:before="100" w:beforeAutospacing="1" w:after="100" w:afterAutospacing="1"/>
        <w:outlineLvl w:val="0"/>
        <w:rPr>
          <w:kern w:val="44"/>
          <w:sz w:val="44"/>
          <w:szCs w:val="44"/>
        </w:rPr>
      </w:pPr>
      <w:r>
        <w:rPr>
          <w:rFonts w:hint="eastAsia"/>
          <w:b w:val="1"/>
          <w:sz w:val="44"/>
        </w:rPr>
        <w:t>蓝莓基地 GAP 标准生产月度工作报告</w:t>
      </w:r>
    </w:p>
    <w:p>
      <w:pPr>
        <w:ind w:left="240"/>
      </w:pPr>
      <w:r>
        <w:t xml:space="preserve">⚠️ </w:t>
      </w:r>
      <w:r>
        <w:rPr>
          <w:rFonts w:hint="eastAsia"/>
          <w:b w:val="1"/>
        </w:rPr>
        <w:t>本模板中的全部数据均为「样例数据，仅作演示」，不得作为任何真实基地的生产记录、认证材料或对外承诺使用。</w:t>
      </w:r>
    </w:p>
    <w:p>
      <w:pPr>
        <w:ind w:left="240"/>
      </w:pPr>
      <w:r>
        <w:rPr>
          <w:rFonts w:hint="eastAsia"/>
        </w:rPr>
        <w:t>交付客户时，请将所有样例数值替换为基地实际数据，并删除本提示行。</w:t>
      </w:r>
    </w:p>
    <w:p>
      <w:pPr>
        <w:ind w:left="240"/>
      </w:pPr>
      <w:r>
        <w:rPr>
          <w:rFonts w:hint="eastAsia"/>
        </w:rPr>
        <w:t>范式来源：《2026-08-29_蓝莓基地GAP标准生产月度工作报告</w:t>
      </w:r>
      <w:r>
        <w:rPr>
          <w:rFonts w:hint="eastAsia"/>
          <w:i w:val="1"/>
        </w:rPr>
        <w:t>原文》｜补全依据：《2026-08-29</w:t>
      </w:r>
      <w:r>
        <w:rPr>
          <w:rFonts w:hint="eastAsia"/>
        </w:rPr>
        <w:t>蓝莓基地各部门工作汇报样例_原文》</w:t>
      </w:r>
    </w:p>
    <w:p>
      <w:pPr>
        <w:keepNext w:val="1"/>
        <w:keepLines w:val="1"/>
        <w:spacing w:before="100" w:beforeAutospacing="1" w:after="100" w:afterAutospacing="1"/>
        <w:outlineLvl w:val="1"/>
        <w:rPr>
          <w:sz w:val="32"/>
          <w:szCs w:val="32"/>
        </w:rPr>
      </w:pPr>
      <w:r>
        <w:rPr>
          <w:rFonts w:hint="eastAsia"/>
          <w:b w:val="1"/>
          <w:sz w:val="32"/>
        </w:rPr>
        <w:t>报告信息</w:t>
      </w:r>
    </w:p>
    <w:tbl>
      <w:tblPr>
        <w:tblW w:w="0" w:type="auto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153"/>
        <w:gridCol w:w="4153"/>
      </w:tblGrid>
      <w:tr>
        <w:trPr>
          <w:tblHeader w:val="1"/>
        </w:trPr>
        <w:tc>
          <w:tcPr>
            <w:tcW w:w="4153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项目</w:t>
            </w:r>
          </w:p>
        </w:tc>
        <w:tc>
          <w:tcPr>
            <w:tcW w:w="4153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内容</w:t>
            </w:r>
          </w:p>
        </w:tc>
      </w:tr>
      <w:tr>
        <w:trPr/>
        <w:tc>
          <w:tcPr>
            <w:tcW w:w="4153" w:type="dxa"/>
          </w:tcPr>
          <w:p>
            <w:r>
              <w:rPr>
                <w:rFonts w:hint="eastAsia"/>
              </w:rPr>
              <w:t>报告编号</w:t>
            </w:r>
          </w:p>
        </w:tc>
        <w:tc>
          <w:tcPr>
            <w:tcW w:w="4153" w:type="dxa"/>
          </w:tcPr>
          <w:p>
            <w:r>
              <w:rPr>
                <w:rFonts w:hint="eastAsia"/>
              </w:rPr>
              <w:t>GAP-SC-2026-06【按基地代码+年份+月份自行编号】</w:t>
            </w:r>
          </w:p>
        </w:tc>
      </w:tr>
      <w:tr>
        <w:trPr/>
        <w:tc>
          <w:tcPr>
            <w:tcW w:w="4153" w:type="dxa"/>
          </w:tcPr>
          <w:p>
            <w:r>
              <w:rPr>
                <w:rFonts w:hint="eastAsia"/>
              </w:rPr>
              <w:t>报告月份</w:t>
            </w:r>
          </w:p>
        </w:tc>
        <w:tc>
          <w:tcPr>
            <w:tcW w:w="4153" w:type="dxa"/>
          </w:tcPr>
          <w:p>
            <w:r>
              <w:rPr>
                <w:rFonts w:hint="eastAsia"/>
              </w:rPr>
              <w:t>2026 年 06 月</w:t>
            </w:r>
          </w:p>
        </w:tc>
      </w:tr>
      <w:tr>
        <w:trPr/>
        <w:tc>
          <w:tcPr>
            <w:tcW w:w="4153" w:type="dxa"/>
          </w:tcPr>
          <w:p>
            <w:r>
              <w:rPr>
                <w:rFonts w:hint="eastAsia"/>
              </w:rPr>
              <w:t>基地名称</w:t>
            </w:r>
          </w:p>
        </w:tc>
        <w:tc>
          <w:tcPr>
            <w:tcW w:w="4153" w:type="dxa"/>
          </w:tcPr>
          <w:p>
            <w:r>
              <w:rPr>
                <w:rFonts w:hint="eastAsia"/>
              </w:rPr>
              <w:t>云南蓝果现代农业蓝莓示范基地</w:t>
            </w:r>
          </w:p>
        </w:tc>
      </w:tr>
      <w:tr>
        <w:trPr/>
        <w:tc>
          <w:tcPr>
            <w:tcW w:w="4153" w:type="dxa"/>
          </w:tcPr>
          <w:p>
            <w:r>
              <w:rPr>
                <w:rFonts w:hint="eastAsia"/>
              </w:rPr>
              <w:t>基地资质</w:t>
            </w:r>
          </w:p>
        </w:tc>
        <w:tc>
          <w:tcPr>
            <w:tcW w:w="4153" w:type="dxa"/>
          </w:tcPr>
          <w:p>
            <w:r>
              <w:rPr>
                <w:rFonts w:hint="eastAsia"/>
              </w:rPr>
              <w:t>GAP 良好农业规范认证基地、绿色食品原料标准化生产基地</w:t>
            </w:r>
          </w:p>
        </w:tc>
      </w:tr>
      <w:tr>
        <w:trPr/>
        <w:tc>
          <w:tcPr>
            <w:tcW w:w="4153" w:type="dxa"/>
          </w:tcPr>
          <w:p>
            <w:r>
              <w:rPr>
                <w:rFonts w:hint="eastAsia"/>
              </w:rPr>
              <w:t>种植规模</w:t>
            </w:r>
          </w:p>
        </w:tc>
        <w:tc>
          <w:tcPr>
            <w:tcW w:w="4153" w:type="dxa"/>
          </w:tcPr>
          <w:p>
            <w:r>
              <w:rPr>
                <w:rFonts w:hint="eastAsia"/>
              </w:rPr>
              <w:t xml:space="preserve">总种植面积 </w:t>
            </w:r>
            <w:r>
              <w:rPr>
                <w:rFonts w:hint="eastAsia"/>
                <w:b w:val="1"/>
              </w:rPr>
              <w:t>260 亩</w:t>
            </w:r>
            <w:r>
              <w:rPr>
                <w:rFonts w:hint="eastAsia"/>
              </w:rPr>
              <w:t>（连栋大棚 200 亩、露地 60 亩）</w:t>
            </w:r>
          </w:p>
        </w:tc>
      </w:tr>
      <w:tr>
        <w:trPr/>
        <w:tc>
          <w:tcPr>
            <w:tcW w:w="4153" w:type="dxa"/>
          </w:tcPr>
          <w:p>
            <w:r>
              <w:rPr>
                <w:rFonts w:hint="eastAsia"/>
              </w:rPr>
              <w:t>主栽品种</w:t>
            </w:r>
          </w:p>
        </w:tc>
        <w:tc>
          <w:tcPr>
            <w:tcW w:w="4153" w:type="dxa"/>
          </w:tcPr>
          <w:p>
            <w:r>
              <w:rPr>
                <w:rFonts w:hint="eastAsia"/>
              </w:rPr>
              <w:t>L25、云雀、H5（南高丛早熟品种）</w:t>
            </w:r>
          </w:p>
        </w:tc>
      </w:tr>
      <w:tr>
        <w:trPr/>
        <w:tc>
          <w:tcPr>
            <w:tcW w:w="4153" w:type="dxa"/>
          </w:tcPr>
          <w:p>
            <w:r>
              <w:rPr>
                <w:rFonts w:hint="eastAsia"/>
              </w:rPr>
              <w:t>树龄</w:t>
            </w:r>
          </w:p>
        </w:tc>
        <w:tc>
          <w:tcPr>
            <w:tcW w:w="4153" w:type="dxa"/>
          </w:tcPr>
          <w:p>
            <w:r>
              <w:rPr>
                <w:rFonts w:hint="eastAsia"/>
              </w:rPr>
              <w:t>4 年盛果期</w:t>
            </w:r>
          </w:p>
        </w:tc>
      </w:tr>
      <w:tr>
        <w:trPr/>
        <w:tc>
          <w:tcPr>
            <w:tcW w:w="4153" w:type="dxa"/>
          </w:tcPr>
          <w:p>
            <w:r>
              <w:rPr>
                <w:rFonts w:hint="eastAsia"/>
              </w:rPr>
              <w:t>汇报部门</w:t>
            </w:r>
          </w:p>
        </w:tc>
        <w:tc>
          <w:tcPr>
            <w:tcW w:w="4153" w:type="dxa"/>
          </w:tcPr>
          <w:p>
            <w:r>
              <w:rPr>
                <w:rFonts w:hint="eastAsia"/>
              </w:rPr>
              <w:t>生产部</w:t>
            </w:r>
          </w:p>
        </w:tc>
      </w:tr>
      <w:tr>
        <w:trPr/>
        <w:tc>
          <w:tcPr>
            <w:tcW w:w="4153" w:type="dxa"/>
          </w:tcPr>
          <w:p>
            <w:r>
              <w:rPr>
                <w:rFonts w:hint="eastAsia"/>
              </w:rPr>
              <w:t>汇报人</w:t>
            </w:r>
          </w:p>
        </w:tc>
        <w:tc>
          <w:tcPr>
            <w:tcW w:w="4153" w:type="dxa"/>
          </w:tcPr>
          <w:p>
            <w:r>
              <w:rPr>
                <w:rFonts w:hint="eastAsia"/>
              </w:rPr>
              <w:t>张建国</w:t>
            </w:r>
          </w:p>
        </w:tc>
      </w:tr>
      <w:tr>
        <w:trPr/>
        <w:tc>
          <w:tcPr>
            <w:tcW w:w="4153" w:type="dxa"/>
          </w:tcPr>
          <w:p>
            <w:r>
              <w:rPr>
                <w:rFonts w:hint="eastAsia"/>
              </w:rPr>
              <w:t>审核人</w:t>
            </w:r>
          </w:p>
        </w:tc>
        <w:tc>
          <w:tcPr>
            <w:tcW w:w="4153" w:type="dxa"/>
          </w:tcPr>
          <w:p>
            <w:r>
              <w:rPr>
                <w:rFonts w:hint="eastAsia"/>
              </w:rPr>
              <w:t>刘主管</w:t>
            </w:r>
          </w:p>
        </w:tc>
      </w:tr>
      <w:tr>
        <w:trPr/>
        <w:tc>
          <w:tcPr>
            <w:tcW w:w="4153" w:type="dxa"/>
          </w:tcPr>
          <w:p>
            <w:r>
              <w:rPr>
                <w:rFonts w:hint="eastAsia"/>
              </w:rPr>
              <w:t>归档用途</w:t>
            </w:r>
          </w:p>
        </w:tc>
        <w:tc>
          <w:tcPr>
            <w:tcW w:w="4153" w:type="dxa"/>
          </w:tcPr>
          <w:p>
            <w:r>
              <w:rPr>
                <w:rFonts w:hint="eastAsia"/>
              </w:rPr>
              <w:t>GAP 年度复审、农产品溯源、生产台账归档、农业项目备查</w:t>
            </w:r>
          </w:p>
        </w:tc>
      </w:tr>
    </w:tbl>
    <w:p>
      <w:pPr>
        <w:keepNext w:val="1"/>
        <w:keepLines w:val="1"/>
        <w:spacing w:before="100" w:beforeAutospacing="1" w:after="100" w:afterAutospacing="1"/>
        <w:outlineLvl w:val="1"/>
        <w:rPr>
          <w:sz w:val="32"/>
          <w:szCs w:val="32"/>
        </w:rPr>
      </w:pPr>
      <w:r>
        <w:rPr>
          <w:rFonts w:hint="eastAsia"/>
          <w:b w:val="1"/>
          <w:sz w:val="32"/>
        </w:rPr>
        <w:t>一、月度气候与物候期 GAP 记录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1. 月度气候概况</w:t>
      </w:r>
    </w:p>
    <w:p>
      <w:r>
        <w:rPr>
          <w:rFonts w:hint="eastAsia"/>
        </w:rPr>
        <w:t xml:space="preserve">本月进入蓝莓集中膨大、转色、采收关键期，月度平均气温 </w:t>
      </w:r>
      <w:r>
        <w:rPr>
          <w:b w:val="1"/>
        </w:rPr>
        <w:t>22℃–29℃</w:t>
      </w:r>
      <w:r>
        <w:rPr>
          <w:rFonts w:hint="eastAsia"/>
        </w:rPr>
        <w:t xml:space="preserve">，昼夜温差适宜；月度累计降雨 </w:t>
      </w:r>
      <w:r>
        <w:rPr>
          <w:b w:val="1"/>
        </w:rPr>
        <w:t>92mm</w:t>
      </w:r>
      <w:r>
        <w:rPr>
          <w:rFonts w:hint="eastAsia"/>
        </w:rPr>
        <w:t xml:space="preserve">，集中在 6 月 12 日–6 月 16 日连续阴雨 5 天；月度整体光照充足，无冰雹、霜冻、强台风等极端灾害天气。园区灌溉用水、土壤、空气质量均符合 </w:t>
      </w:r>
      <w:r>
        <w:rPr>
          <w:rFonts w:hint="eastAsia"/>
          <w:b w:val="1"/>
        </w:rPr>
        <w:t>GB 5084、GB 15618、GB 3095</w:t>
      </w:r>
      <w:r>
        <w:rPr>
          <w:rFonts w:hint="eastAsia"/>
        </w:rPr>
        <w:t xml:space="preserve"> 农业种植标准。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2. 本月物候期（全园区统一记录）</w:t>
      </w:r>
    </w:p>
    <w:p>
      <w:r>
        <w:rPr>
          <w:rFonts w:hint="eastAsia"/>
        </w:rPr>
        <w:t>全园处于：</w:t>
      </w:r>
      <w:r>
        <w:rPr>
          <w:rFonts w:hint="eastAsia"/>
          <w:b w:val="1"/>
        </w:rPr>
        <w:t>果实膨大期 → 转色成熟期 → 集中采收期</w:t>
      </w:r>
      <w:r>
        <w:rPr>
          <w:rFonts w:hint="eastAsia"/>
        </w:rPr>
        <w:t>；树体营养生长放缓，生殖生长为主，整体树势健壮，无大面积衰弱、死株现象。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3. 土壤关键指标监测（GAP 必测）</w:t>
      </w:r>
    </w:p>
    <w:p>
      <w:r>
        <w:rPr>
          <w:rFonts w:hint="eastAsia"/>
        </w:rPr>
        <w:t xml:space="preserve">本月每周定点抽样检测：土壤 </w:t>
      </w:r>
      <w:r>
        <w:rPr>
          <w:rFonts w:hint="eastAsia"/>
          <w:b w:val="1"/>
        </w:rPr>
        <w:t>PH 值 4.8–5.2</w:t>
      </w:r>
      <w:r>
        <w:rPr>
          <w:rFonts w:hint="eastAsia"/>
        </w:rPr>
        <w:t xml:space="preserve">（符合蓝莓最适酸度标准），土壤 </w:t>
      </w:r>
      <w:r>
        <w:rPr>
          <w:rFonts w:hint="eastAsia"/>
          <w:b w:val="1"/>
        </w:rPr>
        <w:t>EC 值 0.8–1.1 ms/cm</w:t>
      </w:r>
      <w:r>
        <w:rPr>
          <w:rFonts w:hint="eastAsia"/>
        </w:rPr>
        <w:t>，</w:t>
      </w:r>
      <w:r>
        <w:rPr>
          <w:rFonts w:hint="eastAsia"/>
          <w:b w:val="1"/>
        </w:rPr>
        <w:t>基质含水量 65%–70%</w:t>
      </w:r>
      <w:r>
        <w:rPr>
          <w:rFonts w:hint="eastAsia"/>
        </w:rPr>
        <w:t>，土壤理化指标全部达标，无盐渍化、酸碱失衡问题。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4. 灌溉水与空气质量监测（GAP 必测）</w:t>
      </w:r>
    </w:p>
    <w:p>
      <w:pPr>
        <w:numPr>
          <w:ilvl w:val="0"/>
          <w:numId w:val="1"/>
        </w:numPr>
      </w:pPr>
      <w:r>
        <w:rPr>
          <w:rFonts w:hint="eastAsia"/>
        </w:rPr>
        <w:t xml:space="preserve">灌溉水：本月抽样 4 次，pH </w:t>
      </w:r>
      <w:r>
        <w:rPr>
          <w:b w:val="1"/>
        </w:rPr>
        <w:t>6.1–6.5</w:t>
      </w:r>
      <w:r>
        <w:rPr>
          <w:rFonts w:hint="eastAsia"/>
        </w:rPr>
        <w:t xml:space="preserve">、EC </w:t>
      </w:r>
      <w:r>
        <w:rPr>
          <w:b w:val="1"/>
        </w:rPr>
        <w:t>0.32–0.38 ms/cm</w:t>
      </w:r>
      <w:r>
        <w:rPr>
          <w:rFonts w:hint="eastAsia"/>
        </w:rPr>
        <w:t xml:space="preserve">，符合 </w:t>
      </w:r>
      <w:r>
        <w:rPr>
          <w:b w:val="1"/>
        </w:rPr>
        <w:t>GB 5084</w:t>
      </w:r>
      <w:r>
        <w:rPr>
          <w:rFonts w:hint="eastAsia"/>
        </w:rPr>
        <w:t xml:space="preserve"> 农田灌溉水质标准</w:t>
      </w:r>
    </w:p>
    <w:p>
      <w:pPr>
        <w:numPr>
          <w:ilvl w:val="0"/>
          <w:numId w:val="1"/>
        </w:numPr>
      </w:pPr>
      <w:r>
        <w:rPr>
          <w:rFonts w:hint="eastAsia"/>
        </w:rPr>
        <w:t xml:space="preserve">空气质量：园区周边环境空气符合 </w:t>
      </w:r>
      <w:r>
        <w:rPr>
          <w:b w:val="1"/>
        </w:rPr>
        <w:t>GB 3095</w:t>
      </w:r>
      <w:r>
        <w:rPr>
          <w:rFonts w:hint="eastAsia"/>
        </w:rPr>
        <w:t xml:space="preserve"> 二级标准，无工业污染源新增</w:t>
      </w:r>
    </w:p>
    <w:p>
      <w:pPr>
        <w:numPr>
          <w:ilvl w:val="0"/>
          <w:numId w:val="1"/>
        </w:numPr>
      </w:pPr>
      <w:r>
        <w:rPr>
          <w:rFonts w:hint="eastAsia"/>
        </w:rPr>
        <w:t>检测记录编号：GAP-WQ-2026-06-01～04【按实际编号替换】</w:t>
      </w:r>
    </w:p>
    <w:p>
      <w:pPr>
        <w:keepNext w:val="1"/>
        <w:keepLines w:val="1"/>
        <w:spacing w:before="100" w:beforeAutospacing="1" w:after="100" w:afterAutospacing="1"/>
        <w:outlineLvl w:val="1"/>
        <w:rPr>
          <w:sz w:val="32"/>
          <w:szCs w:val="32"/>
        </w:rPr>
      </w:pPr>
      <w:r>
        <w:rPr>
          <w:rFonts w:hint="eastAsia"/>
          <w:b w:val="1"/>
          <w:sz w:val="32"/>
        </w:rPr>
        <w:t>二、月度生产目标达成情况（GAP 对标考核）</w:t>
      </w:r>
    </w:p>
    <w:tbl>
      <w:tblPr>
        <w:tblW w:w="0" w:type="auto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61"/>
        <w:gridCol w:w="1661"/>
        <w:gridCol w:w="1661"/>
        <w:gridCol w:w="1661"/>
        <w:gridCol w:w="1661"/>
      </w:tblGrid>
      <w:tr>
        <w:trPr>
          <w:tblHeader w:val="1"/>
        </w:trPr>
        <w:tc>
          <w:tcPr>
            <w:tcW w:w="1661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考核指标</w:t>
            </w:r>
          </w:p>
        </w:tc>
        <w:tc>
          <w:tcPr>
            <w:tcW w:w="1661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月度计划目标</w:t>
            </w:r>
          </w:p>
        </w:tc>
        <w:tc>
          <w:tcPr>
            <w:tcW w:w="1661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实际完成数据</w:t>
            </w:r>
          </w:p>
        </w:tc>
        <w:tc>
          <w:tcPr>
            <w:tcW w:w="1661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完成率</w:t>
            </w:r>
          </w:p>
        </w:tc>
        <w:tc>
          <w:tcPr>
            <w:tcW w:w="1661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差异原因说明（GAP 归档必填）</w:t>
            </w:r>
          </w:p>
        </w:tc>
      </w:tr>
      <w:tr>
        <w:trPr/>
        <w:tc>
          <w:tcPr>
            <w:tcW w:w="1661" w:type="dxa"/>
          </w:tcPr>
          <w:p>
            <w:r>
              <w:rPr>
                <w:rFonts w:hint="eastAsia"/>
              </w:rPr>
              <w:t>鲜果总产量</w:t>
            </w:r>
          </w:p>
        </w:tc>
        <w:tc>
          <w:tcPr>
            <w:tcW w:w="1661" w:type="dxa"/>
          </w:tcPr>
          <w:p>
            <w:r>
              <w:rPr>
                <w:rFonts w:hint="eastAsia"/>
              </w:rPr>
              <w:t>85 吨</w:t>
            </w:r>
          </w:p>
        </w:tc>
        <w:tc>
          <w:tcPr>
            <w:tcW w:w="1661" w:type="dxa"/>
          </w:tcPr>
          <w:p>
            <w:r>
              <w:rPr>
                <w:rFonts w:hint="eastAsia"/>
                <w:b w:val="1"/>
              </w:rPr>
              <w:t>78.2 吨</w:t>
            </w:r>
          </w:p>
        </w:tc>
        <w:tc>
          <w:tcPr>
            <w:tcW w:w="1661" w:type="dxa"/>
          </w:tcPr>
          <w:p>
            <w:r>
              <w:rPr>
                <w:b w:val="1"/>
              </w:rPr>
              <w:t>92.0%</w:t>
            </w:r>
          </w:p>
        </w:tc>
        <w:tc>
          <w:tcPr>
            <w:tcW w:w="1661" w:type="dxa"/>
          </w:tcPr>
          <w:p>
            <w:r>
              <w:rPr>
                <w:rFonts w:hint="eastAsia"/>
              </w:rPr>
              <w:t>月中连续阴雨 5 天，果实吸水裂果、采摘作业受限，产量小幅缺口</w:t>
            </w:r>
          </w:p>
        </w:tc>
      </w:tr>
      <w:tr>
        <w:trPr/>
        <w:tc>
          <w:tcPr>
            <w:tcW w:w="1661" w:type="dxa"/>
          </w:tcPr>
          <w:p>
            <w:r>
              <w:rPr>
                <w:rFonts w:hint="eastAsia"/>
              </w:rPr>
              <w:t>一级果率</w:t>
            </w:r>
          </w:p>
        </w:tc>
        <w:tc>
          <w:tcPr>
            <w:tcW w:w="1661" w:type="dxa"/>
          </w:tcPr>
          <w:p>
            <w:r>
              <w:t>70%</w:t>
            </w:r>
          </w:p>
        </w:tc>
        <w:tc>
          <w:tcPr>
            <w:tcW w:w="1661" w:type="dxa"/>
          </w:tcPr>
          <w:p>
            <w:r>
              <w:rPr>
                <w:b w:val="1"/>
              </w:rPr>
              <w:t>67.5%</w:t>
            </w:r>
          </w:p>
        </w:tc>
        <w:tc>
          <w:tcPr>
            <w:tcW w:w="1661" w:type="dxa"/>
          </w:tcPr>
          <w:p>
            <w:r>
              <w:rPr>
                <w:b w:val="1"/>
              </w:rPr>
              <w:t>96.4%</w:t>
            </w:r>
          </w:p>
        </w:tc>
        <w:tc>
          <w:tcPr>
            <w:tcW w:w="1661" w:type="dxa"/>
          </w:tcPr>
          <w:p>
            <w:r>
              <w:rPr>
                <w:rFonts w:hint="eastAsia"/>
              </w:rPr>
              <w:t>阴雨天气导致软果、轻微裂果增多，拉低一级果占比</w:t>
            </w:r>
          </w:p>
        </w:tc>
      </w:tr>
      <w:tr>
        <w:trPr/>
        <w:tc>
          <w:tcPr>
            <w:tcW w:w="1661" w:type="dxa"/>
          </w:tcPr>
          <w:p>
            <w:r>
              <w:rPr>
                <w:rFonts w:hint="eastAsia"/>
              </w:rPr>
              <w:t>鲜果综合损耗率</w:t>
            </w:r>
          </w:p>
        </w:tc>
        <w:tc>
          <w:tcPr>
            <w:tcW w:w="1661" w:type="dxa"/>
          </w:tcPr>
          <w:p>
            <w:r>
              <w:t>≤8%</w:t>
            </w:r>
          </w:p>
        </w:tc>
        <w:tc>
          <w:tcPr>
            <w:tcW w:w="1661" w:type="dxa"/>
          </w:tcPr>
          <w:p>
            <w:r>
              <w:rPr>
                <w:b w:val="1"/>
              </w:rPr>
              <w:t>10.5%</w:t>
            </w:r>
          </w:p>
        </w:tc>
        <w:tc>
          <w:tcPr>
            <w:tcW w:w="1661" w:type="dxa"/>
          </w:tcPr>
          <w:p>
            <w:r>
              <w:rPr>
                <w:rFonts w:hint="eastAsia"/>
                <w:b w:val="1"/>
              </w:rPr>
              <w:t>未达标</w:t>
            </w:r>
          </w:p>
        </w:tc>
        <w:tc>
          <w:tcPr>
            <w:tcW w:w="1661" w:type="dxa"/>
          </w:tcPr>
          <w:p>
            <w:r>
              <w:rPr>
                <w:rFonts w:hint="eastAsia"/>
              </w:rPr>
              <w:t>雨季湿度大，采后预冷间隔时间波动，损耗略超标准</w:t>
            </w:r>
          </w:p>
        </w:tc>
      </w:tr>
      <w:tr>
        <w:trPr/>
        <w:tc>
          <w:tcPr>
            <w:tcW w:w="1661" w:type="dxa"/>
          </w:tcPr>
          <w:p>
            <w:r>
              <w:rPr>
                <w:rFonts w:hint="eastAsia"/>
              </w:rPr>
              <w:t>农残检测合格率</w:t>
            </w:r>
          </w:p>
        </w:tc>
        <w:tc>
          <w:tcPr>
            <w:tcW w:w="1661" w:type="dxa"/>
          </w:tcPr>
          <w:p>
            <w:r>
              <w:t>100%</w:t>
            </w:r>
          </w:p>
        </w:tc>
        <w:tc>
          <w:tcPr>
            <w:tcW w:w="1661" w:type="dxa"/>
          </w:tcPr>
          <w:p>
            <w:r>
              <w:rPr>
                <w:b w:val="1"/>
              </w:rPr>
              <w:t>100%</w:t>
            </w:r>
          </w:p>
        </w:tc>
        <w:tc>
          <w:tcPr>
            <w:tcW w:w="1661" w:type="dxa"/>
          </w:tcPr>
          <w:p>
            <w:r>
              <w:rPr>
                <w:b w:val="1"/>
              </w:rPr>
              <w:t>100%</w:t>
            </w:r>
          </w:p>
        </w:tc>
        <w:tc>
          <w:tcPr>
            <w:tcW w:w="1661" w:type="dxa"/>
          </w:tcPr>
          <w:p>
            <w:r>
              <w:rPr>
                <w:rFonts w:hint="eastAsia"/>
              </w:rPr>
              <w:t>全部批次合格，无超标、无禁限用农药使用</w:t>
            </w:r>
          </w:p>
        </w:tc>
      </w:tr>
    </w:tbl>
    <w:p>
      <w:r>
        <w:rPr>
          <w:rFonts w:hint="eastAsia"/>
          <w:b w:val="1"/>
        </w:rPr>
        <w:t>月度结论</w:t>
      </w:r>
      <w:r>
        <w:rPr>
          <w:rFonts w:hint="eastAsia"/>
        </w:rPr>
        <w:t>：产量与品质指标基本达标，</w:t>
      </w:r>
      <w:r>
        <w:rPr>
          <w:rFonts w:hint="eastAsia"/>
          <w:b w:val="1"/>
        </w:rPr>
        <w:t>综合损耗率 10.5% 超出 ≤8% 的内控标准，为本月唯一不符合项</w:t>
      </w:r>
      <w:r>
        <w:rPr>
          <w:rFonts w:hint="eastAsia"/>
        </w:rPr>
        <w:t>，整改方案见第五章。</w:t>
      </w:r>
    </w:p>
    <w:p>
      <w:pPr>
        <w:keepNext w:val="1"/>
        <w:keepLines w:val="1"/>
        <w:spacing w:before="100" w:beforeAutospacing="1" w:after="100" w:afterAutospacing="1"/>
        <w:outlineLvl w:val="1"/>
        <w:rPr>
          <w:sz w:val="32"/>
          <w:szCs w:val="32"/>
        </w:rPr>
      </w:pPr>
      <w:r>
        <w:rPr>
          <w:rFonts w:hint="eastAsia"/>
          <w:b w:val="1"/>
          <w:sz w:val="32"/>
        </w:rPr>
        <w:t>三、月度农事标准化作业记录（GAP 全程追溯）</w:t>
      </w:r>
    </w:p>
    <w:p>
      <w:r>
        <w:rPr>
          <w:rFonts w:hint="eastAsia"/>
        </w:rPr>
        <w:t>本月严格按照《蓝莓设施栽培标准化技术规程》开展农事作业，所有作业做到</w:t>
      </w:r>
      <w:r>
        <w:rPr>
          <w:rFonts w:hint="eastAsia"/>
          <w:b w:val="1"/>
        </w:rPr>
        <w:t>定时、定地块、定人员、定农资、定剂量</w:t>
      </w:r>
      <w:r>
        <w:rPr>
          <w:rFonts w:hint="eastAsia"/>
        </w:rPr>
        <w:t>，全程可追溯。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1. 肥水管理记录</w:t>
      </w:r>
    </w:p>
    <w:p>
      <w:r>
        <w:rPr>
          <w:rFonts w:hint="eastAsia"/>
        </w:rPr>
        <w:t>本月以膨果水溶肥、高钾叶面肥为主，</w:t>
      </w:r>
      <w:r>
        <w:rPr>
          <w:rFonts w:hint="eastAsia"/>
          <w:b w:val="1"/>
        </w:rPr>
        <w:t>禁止高氮肥料施用</w:t>
      </w:r>
      <w:r>
        <w:rPr>
          <w:rFonts w:hint="eastAsia"/>
        </w:rPr>
        <w:t xml:space="preserve">。全园统一水肥一体化滴灌，共完成全园水肥补给 </w:t>
      </w:r>
      <w:r>
        <w:rPr>
          <w:rFonts w:hint="eastAsia"/>
          <w:b w:val="1"/>
        </w:rPr>
        <w:t>4 次</w:t>
      </w:r>
      <w:r>
        <w:rPr>
          <w:rFonts w:hint="eastAsia"/>
        </w:rPr>
        <w:t>。</w:t>
      </w:r>
    </w:p>
    <w:p>
      <w:r>
        <w:rPr>
          <w:rFonts w:hint="eastAsia"/>
        </w:rPr>
        <w:t xml:space="preserve">投入物资：大量元素水溶肥 </w:t>
      </w:r>
      <w:r>
        <w:rPr>
          <w:rFonts w:hint="eastAsia"/>
          <w:b w:val="1"/>
        </w:rPr>
        <w:t>4.2 吨</w:t>
      </w:r>
      <w:r>
        <w:rPr>
          <w:rFonts w:hint="eastAsia"/>
        </w:rPr>
        <w:t xml:space="preserve">、高钾叶面肥 </w:t>
      </w:r>
      <w:r>
        <w:rPr>
          <w:rFonts w:hint="eastAsia"/>
          <w:b w:val="1"/>
        </w:rPr>
        <w:t>0.85 吨</w:t>
      </w:r>
      <w:r>
        <w:rPr>
          <w:rFonts w:hint="eastAsia"/>
        </w:rPr>
        <w:t xml:space="preserve">、腐殖酸冲施肥 </w:t>
      </w:r>
      <w:r>
        <w:rPr>
          <w:rFonts w:hint="eastAsia"/>
          <w:b w:val="1"/>
        </w:rPr>
        <w:t>0.6 吨</w:t>
      </w:r>
      <w:r>
        <w:rPr>
          <w:rFonts w:hint="eastAsia"/>
        </w:rPr>
        <w:t>。所有肥料均为登记合规农资，三证齐全，台账完整。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2. 植保防控记录（GAP 核心追溯项）</w:t>
      </w:r>
    </w:p>
    <w:p>
      <w:pPr>
        <w:numPr>
          <w:ilvl w:val="0"/>
          <w:numId w:val="1"/>
        </w:numPr>
      </w:pPr>
      <w:r>
        <w:rPr>
          <w:rFonts w:hint="eastAsia"/>
        </w:rPr>
        <w:t>本月主要预防病害：</w:t>
      </w:r>
      <w:r>
        <w:rPr>
          <w:rFonts w:hint="eastAsia"/>
          <w:b w:val="1"/>
        </w:rPr>
        <w:t>灰霉病、炭疽病、叶斑病</w:t>
      </w:r>
      <w:r>
        <w:rPr>
          <w:rFonts w:hint="eastAsia"/>
        </w:rPr>
        <w:t>；主要虫害：</w:t>
      </w:r>
      <w:r>
        <w:rPr>
          <w:rFonts w:hint="eastAsia"/>
          <w:b w:val="1"/>
        </w:rPr>
        <w:t>蓟马、果蝇</w:t>
      </w:r>
    </w:p>
    <w:p>
      <w:pPr>
        <w:numPr>
          <w:ilvl w:val="0"/>
          <w:numId w:val="1"/>
        </w:numPr>
      </w:pPr>
      <w:r>
        <w:rPr>
          <w:rFonts w:hint="eastAsia"/>
        </w:rPr>
        <w:t>防控方式：</w:t>
      </w:r>
      <w:r>
        <w:rPr>
          <w:rFonts w:hint="eastAsia"/>
          <w:b w:val="1"/>
        </w:rPr>
        <w:t>物理防控 + 生物药剂为主，化学药剂为辅</w:t>
      </w:r>
      <w:r>
        <w:rPr>
          <w:rFonts w:hint="eastAsia"/>
        </w:rPr>
        <w:t>，严格执行安全间隔期</w:t>
      </w:r>
    </w:p>
    <w:p>
      <w:pPr>
        <w:numPr>
          <w:ilvl w:val="0"/>
          <w:numId w:val="1"/>
        </w:numPr>
      </w:pPr>
      <w:r>
        <w:rPr>
          <w:rFonts w:hint="eastAsia"/>
        </w:rPr>
        <w:t>合规用药记录：喷施</w:t>
      </w:r>
      <w:r>
        <w:rPr>
          <w:rFonts w:hint="eastAsia"/>
          <w:b w:val="1"/>
        </w:rPr>
        <w:t>嘧菌酯、吡虫啉</w:t>
      </w:r>
      <w:r>
        <w:rPr>
          <w:rFonts w:hint="eastAsia"/>
        </w:rPr>
        <w:t xml:space="preserve">低毒合规药剂各 </w:t>
      </w:r>
      <w:r>
        <w:rPr>
          <w:rFonts w:hint="eastAsia"/>
          <w:b w:val="1"/>
        </w:rPr>
        <w:t>1 次</w:t>
      </w:r>
      <w:r>
        <w:rPr>
          <w:rFonts w:hint="eastAsia"/>
        </w:rPr>
        <w:t xml:space="preserve">，用药剂量合规，无超量、无禁药，用药后严格执行 </w:t>
      </w:r>
      <w:r>
        <w:rPr>
          <w:rFonts w:hint="eastAsia"/>
          <w:b w:val="1"/>
        </w:rPr>
        <w:t>7 天以上安全间隔期</w:t>
      </w:r>
      <w:r>
        <w:rPr>
          <w:rFonts w:hint="eastAsia"/>
        </w:rPr>
        <w:t>，采收完全合规</w:t>
      </w:r>
    </w:p>
    <w:tbl>
      <w:tblPr>
        <w:tblW w:w="0" w:type="auto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8"/>
        <w:gridCol w:w="1038"/>
        <w:gridCol w:w="1038"/>
        <w:gridCol w:w="1038"/>
        <w:gridCol w:w="1038"/>
        <w:gridCol w:w="1038"/>
        <w:gridCol w:w="1038"/>
        <w:gridCol w:w="1038"/>
      </w:tblGrid>
      <w:tr>
        <w:trPr>
          <w:tblHeader w:val="1"/>
        </w:trPr>
        <w:tc>
          <w:tcPr>
            <w:tcW w:w="1038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作业日期</w:t>
            </w:r>
          </w:p>
        </w:tc>
        <w:tc>
          <w:tcPr>
            <w:tcW w:w="1038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地块</w:t>
            </w:r>
          </w:p>
        </w:tc>
        <w:tc>
          <w:tcPr>
            <w:tcW w:w="1038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靶标</w:t>
            </w:r>
          </w:p>
        </w:tc>
        <w:tc>
          <w:tcPr>
            <w:tcW w:w="1038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药剂名称</w:t>
            </w:r>
          </w:p>
        </w:tc>
        <w:tc>
          <w:tcPr>
            <w:tcW w:w="1038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稀释倍数/剂量</w:t>
            </w:r>
          </w:p>
        </w:tc>
        <w:tc>
          <w:tcPr>
            <w:tcW w:w="1038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施药人员</w:t>
            </w:r>
          </w:p>
        </w:tc>
        <w:tc>
          <w:tcPr>
            <w:tcW w:w="1038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安全间隔期</w:t>
            </w:r>
          </w:p>
        </w:tc>
        <w:tc>
          <w:tcPr>
            <w:tcW w:w="1038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采收日期</w:t>
            </w:r>
          </w:p>
        </w:tc>
      </w:tr>
      <w:tr>
        <w:trPr/>
        <w:tc>
          <w:tcPr>
            <w:tcW w:w="1038" w:type="dxa"/>
          </w:tcPr>
          <w:p>
            <w:r>
              <w:t>06-08</w:t>
            </w:r>
          </w:p>
        </w:tc>
        <w:tc>
          <w:tcPr>
            <w:tcW w:w="1038" w:type="dxa"/>
          </w:tcPr>
          <w:p>
            <w:r>
              <w:rPr>
                <w:rFonts w:hint="eastAsia"/>
              </w:rPr>
              <w:t>1–8 号棚</w:t>
            </w:r>
          </w:p>
        </w:tc>
        <w:tc>
          <w:tcPr>
            <w:tcW w:w="1038" w:type="dxa"/>
          </w:tcPr>
          <w:p>
            <w:r>
              <w:rPr>
                <w:rFonts w:hint="eastAsia"/>
              </w:rPr>
              <w:t>灰霉病预防</w:t>
            </w:r>
          </w:p>
        </w:tc>
        <w:tc>
          <w:tcPr>
            <w:tcW w:w="1038" w:type="dxa"/>
          </w:tcPr>
          <w:p>
            <w:r>
              <w:rPr>
                <w:rFonts w:hint="eastAsia"/>
              </w:rPr>
              <w:t>嘧菌酯</w:t>
            </w:r>
          </w:p>
        </w:tc>
        <w:tc>
          <w:tcPr>
            <w:tcW w:w="1038" w:type="dxa"/>
          </w:tcPr>
          <w:p>
            <w:r>
              <w:rPr>
                <w:rFonts w:hint="eastAsia"/>
              </w:rPr>
              <w:t>1500 倍液</w:t>
            </w:r>
          </w:p>
        </w:tc>
        <w:tc>
          <w:tcPr>
            <w:tcW w:w="1038" w:type="dxa"/>
          </w:tcPr>
          <w:p>
            <w:r>
              <w:rPr>
                <w:rFonts w:hint="eastAsia"/>
              </w:rPr>
              <w:t>张建国班组</w:t>
            </w:r>
          </w:p>
        </w:tc>
        <w:tc>
          <w:tcPr>
            <w:tcW w:w="1038" w:type="dxa"/>
          </w:tcPr>
          <w:p>
            <w:r>
              <w:rPr>
                <w:rFonts w:hint="eastAsia"/>
              </w:rPr>
              <w:t>≥7 天</w:t>
            </w:r>
          </w:p>
        </w:tc>
        <w:tc>
          <w:tcPr>
            <w:tcW w:w="1038" w:type="dxa"/>
          </w:tcPr>
          <w:p>
            <w:r>
              <w:rPr>
                <w:rFonts w:hint="eastAsia"/>
              </w:rPr>
              <w:t>06-20 后</w:t>
            </w:r>
          </w:p>
        </w:tc>
      </w:tr>
      <w:tr>
        <w:trPr/>
        <w:tc>
          <w:tcPr>
            <w:tcW w:w="1038" w:type="dxa"/>
          </w:tcPr>
          <w:p>
            <w:r>
              <w:t>06-22</w:t>
            </w:r>
          </w:p>
        </w:tc>
        <w:tc>
          <w:tcPr>
            <w:tcW w:w="1038" w:type="dxa"/>
          </w:tcPr>
          <w:p>
            <w:r>
              <w:rPr>
                <w:rFonts w:hint="eastAsia"/>
              </w:rPr>
              <w:t>1–8 号棚</w:t>
            </w:r>
          </w:p>
        </w:tc>
        <w:tc>
          <w:tcPr>
            <w:tcW w:w="1038" w:type="dxa"/>
          </w:tcPr>
          <w:p>
            <w:r>
              <w:rPr>
                <w:rFonts w:hint="eastAsia"/>
              </w:rPr>
              <w:t>蓟马/果蝇</w:t>
            </w:r>
          </w:p>
        </w:tc>
        <w:tc>
          <w:tcPr>
            <w:tcW w:w="1038" w:type="dxa"/>
          </w:tcPr>
          <w:p>
            <w:r>
              <w:rPr>
                <w:rFonts w:hint="eastAsia"/>
              </w:rPr>
              <w:t>吡虫啉</w:t>
            </w:r>
          </w:p>
        </w:tc>
        <w:tc>
          <w:tcPr>
            <w:tcW w:w="1038" w:type="dxa"/>
          </w:tcPr>
          <w:p>
            <w:r>
              <w:rPr>
                <w:rFonts w:hint="eastAsia"/>
              </w:rPr>
              <w:t>2000 倍液</w:t>
            </w:r>
          </w:p>
        </w:tc>
        <w:tc>
          <w:tcPr>
            <w:tcW w:w="1038" w:type="dxa"/>
          </w:tcPr>
          <w:p>
            <w:r>
              <w:rPr>
                <w:rFonts w:hint="eastAsia"/>
              </w:rPr>
              <w:t>张建国班组</w:t>
            </w:r>
          </w:p>
        </w:tc>
        <w:tc>
          <w:tcPr>
            <w:tcW w:w="1038" w:type="dxa"/>
          </w:tcPr>
          <w:p>
            <w:r>
              <w:rPr>
                <w:rFonts w:hint="eastAsia"/>
              </w:rPr>
              <w:t>≥7 天</w:t>
            </w:r>
          </w:p>
        </w:tc>
        <w:tc>
          <w:tcPr>
            <w:tcW w:w="1038" w:type="dxa"/>
          </w:tcPr>
          <w:p>
            <w:r>
              <w:rPr>
                <w:rFonts w:hint="eastAsia"/>
              </w:rPr>
              <w:t>07-01 后</w:t>
            </w:r>
          </w:p>
        </w:tc>
      </w:tr>
    </w:tbl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3. 田间管理</w:t>
      </w:r>
    </w:p>
    <w:p>
      <w:r>
        <w:rPr>
          <w:rFonts w:hint="eastAsia"/>
        </w:rPr>
        <w:t xml:space="preserve">完成大棚行间除草、地面防草布巡检修补、通风排湿管理、枝条整理疏果；修复全园滴灌堵塞、漏水点位 </w:t>
      </w:r>
      <w:r>
        <w:rPr>
          <w:rFonts w:hint="eastAsia"/>
          <w:b w:val="1"/>
        </w:rPr>
        <w:t>28 处</w:t>
      </w:r>
      <w:r>
        <w:rPr>
          <w:rFonts w:hint="eastAsia"/>
        </w:rPr>
        <w:t>，保障水肥均匀供给。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4. 作业人员与培训</w:t>
      </w:r>
    </w:p>
    <w:p>
      <w:r>
        <w:rPr>
          <w:rFonts w:hint="eastAsia"/>
        </w:rPr>
        <w:t xml:space="preserve">固定生产人员 </w:t>
      </w:r>
      <w:r>
        <w:rPr>
          <w:rFonts w:hint="eastAsia"/>
          <w:b w:val="1"/>
        </w:rPr>
        <w:t>18 人</w:t>
      </w:r>
      <w:r>
        <w:rPr>
          <w:rFonts w:hint="eastAsia"/>
        </w:rPr>
        <w:t xml:space="preserve">，采收季临时用工 </w:t>
      </w:r>
      <w:r>
        <w:rPr>
          <w:rFonts w:hint="eastAsia"/>
          <w:b w:val="1"/>
        </w:rPr>
        <w:t>1280 人次</w:t>
      </w:r>
      <w:r>
        <w:rPr>
          <w:rFonts w:hint="eastAsia"/>
        </w:rPr>
        <w:t xml:space="preserve">；本月开展基地安全及采摘规范培训 </w:t>
      </w:r>
      <w:r>
        <w:rPr>
          <w:rFonts w:hint="eastAsia"/>
          <w:b w:val="1"/>
        </w:rPr>
        <w:t>1 次</w:t>
      </w:r>
      <w:r>
        <w:rPr>
          <w:rFonts w:hint="eastAsia"/>
        </w:rPr>
        <w:t xml:space="preserve">、参训 </w:t>
      </w:r>
      <w:r>
        <w:rPr>
          <w:rFonts w:hint="eastAsia"/>
          <w:b w:val="1"/>
        </w:rPr>
        <w:t>47 人次</w:t>
      </w:r>
      <w:r>
        <w:rPr>
          <w:rFonts w:hint="eastAsia"/>
        </w:rPr>
        <w:t>，培训签到与影像资料已归档（编号 GAP-TR-2026-06-01）。</w:t>
      </w:r>
    </w:p>
    <w:p>
      <w:pPr>
        <w:keepNext w:val="1"/>
        <w:keepLines w:val="1"/>
        <w:spacing w:before="100" w:beforeAutospacing="1" w:after="100" w:afterAutospacing="1"/>
        <w:outlineLvl w:val="1"/>
        <w:rPr>
          <w:sz w:val="32"/>
          <w:szCs w:val="32"/>
        </w:rPr>
      </w:pPr>
      <w:r>
        <w:rPr>
          <w:rFonts w:hint="eastAsia"/>
          <w:b w:val="1"/>
          <w:sz w:val="32"/>
        </w:rPr>
        <w:t>四、月度采收加工与质量管控（GAP 质量体系）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1. 分品种产量分级统计</w:t>
      </w:r>
    </w:p>
    <w:p>
      <w:r>
        <w:rPr>
          <w:rFonts w:hint="eastAsia"/>
          <w:b w:val="1"/>
        </w:rPr>
        <w:t>品种产量</w:t>
      </w:r>
      <w:r>
        <w:rPr>
          <w:rFonts w:hint="eastAsia"/>
        </w:rPr>
        <w:t xml:space="preserve">：L25 </w:t>
      </w:r>
      <w:r>
        <w:rPr>
          <w:rFonts w:hint="eastAsia"/>
          <w:b w:val="1"/>
        </w:rPr>
        <w:t>41.0 吨</w:t>
      </w:r>
      <w:r>
        <w:rPr>
          <w:rFonts w:hint="eastAsia"/>
        </w:rPr>
        <w:t xml:space="preserve">、云雀 </w:t>
      </w:r>
      <w:r>
        <w:rPr>
          <w:rFonts w:hint="eastAsia"/>
          <w:b w:val="1"/>
        </w:rPr>
        <w:t>22.0 吨</w:t>
      </w:r>
      <w:r>
        <w:rPr>
          <w:rFonts w:hint="eastAsia"/>
        </w:rPr>
        <w:t xml:space="preserve">、H5 </w:t>
      </w:r>
      <w:r>
        <w:rPr>
          <w:rFonts w:hint="eastAsia"/>
          <w:b w:val="1"/>
        </w:rPr>
        <w:t>15.2 吨</w:t>
      </w:r>
      <w:r>
        <w:rPr>
          <w:rFonts w:hint="eastAsia"/>
        </w:rPr>
        <w:t xml:space="preserve">，合计 </w:t>
      </w:r>
      <w:r>
        <w:rPr>
          <w:rFonts w:hint="eastAsia"/>
          <w:b w:val="1"/>
        </w:rPr>
        <w:t>78.2 吨</w:t>
      </w:r>
      <w:r>
        <w:rPr>
          <w:rFonts w:hint="eastAsia"/>
        </w:rPr>
        <w:t>。</w:t>
      </w:r>
    </w:p>
    <w:tbl>
      <w:tblPr>
        <w:tblW w:w="0" w:type="auto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76"/>
        <w:gridCol w:w="2076"/>
        <w:gridCol w:w="2076"/>
        <w:gridCol w:w="2076"/>
      </w:tblGrid>
      <w:tr>
        <w:trPr>
          <w:tblHeader w:val="1"/>
        </w:trPr>
        <w:tc>
          <w:tcPr>
            <w:tcW w:w="2076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等级</w:t>
            </w:r>
          </w:p>
        </w:tc>
        <w:tc>
          <w:tcPr>
            <w:tcW w:w="2076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重量</w:t>
            </w:r>
          </w:p>
        </w:tc>
        <w:tc>
          <w:tcPr>
            <w:tcW w:w="2076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占比</w:t>
            </w:r>
          </w:p>
        </w:tc>
        <w:tc>
          <w:tcPr>
            <w:tcW w:w="2076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主要去向</w:t>
            </w:r>
          </w:p>
        </w:tc>
      </w:tr>
      <w:tr>
        <w:trPr/>
        <w:tc>
          <w:tcPr>
            <w:tcW w:w="2076" w:type="dxa"/>
          </w:tcPr>
          <w:p>
            <w:r>
              <w:rPr>
                <w:rFonts w:hint="eastAsia"/>
              </w:rPr>
              <w:t>一级果</w:t>
            </w:r>
          </w:p>
        </w:tc>
        <w:tc>
          <w:tcPr>
            <w:tcW w:w="2076" w:type="dxa"/>
          </w:tcPr>
          <w:p>
            <w:r>
              <w:rPr>
                <w:rFonts w:hint="eastAsia"/>
                <w:b w:val="1"/>
              </w:rPr>
              <w:t>52.8 吨</w:t>
            </w:r>
          </w:p>
        </w:tc>
        <w:tc>
          <w:tcPr>
            <w:tcW w:w="2076" w:type="dxa"/>
          </w:tcPr>
          <w:p>
            <w:r>
              <w:rPr>
                <w:b w:val="1"/>
              </w:rPr>
              <w:t>67.5%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商超、电商、经销商精品线</w:t>
            </w:r>
          </w:p>
        </w:tc>
      </w:tr>
      <w:tr>
        <w:trPr/>
        <w:tc>
          <w:tcPr>
            <w:tcW w:w="2076" w:type="dxa"/>
          </w:tcPr>
          <w:p>
            <w:r>
              <w:rPr>
                <w:rFonts w:hint="eastAsia"/>
              </w:rPr>
              <w:t>二级果</w:t>
            </w:r>
          </w:p>
        </w:tc>
        <w:tc>
          <w:tcPr>
            <w:tcW w:w="2076" w:type="dxa"/>
          </w:tcPr>
          <w:p>
            <w:r>
              <w:rPr>
                <w:rFonts w:hint="eastAsia"/>
                <w:b w:val="1"/>
              </w:rPr>
              <w:t>17.4 吨</w:t>
            </w:r>
          </w:p>
        </w:tc>
        <w:tc>
          <w:tcPr>
            <w:tcW w:w="2076" w:type="dxa"/>
          </w:tcPr>
          <w:p>
            <w:r>
              <w:t>22.3%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经销商走量、加工果渠道</w:t>
            </w:r>
          </w:p>
        </w:tc>
      </w:tr>
      <w:tr>
        <w:trPr/>
        <w:tc>
          <w:tcPr>
            <w:tcW w:w="2076" w:type="dxa"/>
          </w:tcPr>
          <w:p>
            <w:r>
              <w:rPr>
                <w:rFonts w:hint="eastAsia"/>
              </w:rPr>
              <w:t>次果</w:t>
            </w:r>
          </w:p>
        </w:tc>
        <w:tc>
          <w:tcPr>
            <w:tcW w:w="2076" w:type="dxa"/>
          </w:tcPr>
          <w:p>
            <w:r>
              <w:rPr>
                <w:rFonts w:hint="eastAsia"/>
                <w:b w:val="1"/>
              </w:rPr>
              <w:t>7.98 吨</w:t>
            </w:r>
          </w:p>
        </w:tc>
        <w:tc>
          <w:tcPr>
            <w:tcW w:w="2076" w:type="dxa"/>
          </w:tcPr>
          <w:p>
            <w:r>
              <w:t>10.2%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加工、内销消化</w:t>
            </w:r>
          </w:p>
        </w:tc>
      </w:tr>
      <w:tr>
        <w:trPr/>
        <w:tc>
          <w:tcPr>
            <w:tcW w:w="2076" w:type="dxa"/>
          </w:tcPr>
          <w:p>
            <w:r>
              <w:rPr>
                <w:rFonts w:hint="eastAsia"/>
              </w:rPr>
              <w:t>综合损耗率</w:t>
            </w:r>
          </w:p>
        </w:tc>
        <w:tc>
          <w:tcPr>
            <w:tcW w:w="2076" w:type="dxa"/>
          </w:tcPr>
          <w:p>
            <w:r>
              <w:t>—</w:t>
            </w:r>
          </w:p>
        </w:tc>
        <w:tc>
          <w:tcPr>
            <w:tcW w:w="2076" w:type="dxa"/>
          </w:tcPr>
          <w:p>
            <w:r>
              <w:rPr>
                <w:b w:val="1"/>
              </w:rPr>
              <w:t>10.5%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超内控标准（≤8%），见整改项</w:t>
            </w:r>
          </w:p>
        </w:tc>
      </w:tr>
    </w:tbl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2. 采后预冷与冷链管理</w:t>
      </w:r>
    </w:p>
    <w:p>
      <w:pPr>
        <w:numPr>
          <w:ilvl w:val="0"/>
          <w:numId w:val="1"/>
        </w:numPr>
      </w:pPr>
      <w:r>
        <w:rPr>
          <w:rFonts w:hint="eastAsia"/>
        </w:rPr>
        <w:t>采摘后</w:t>
      </w:r>
      <w:r>
        <w:rPr>
          <w:rFonts w:hint="eastAsia"/>
          <w:b w:val="1"/>
        </w:rPr>
        <w:t>目标 30 分钟内</w:t>
      </w:r>
      <w:r>
        <w:rPr>
          <w:rFonts w:hint="eastAsia"/>
        </w:rPr>
        <w:t xml:space="preserve">进预冷库，本月实际平均间隔 </w:t>
      </w:r>
      <w:r>
        <w:rPr>
          <w:rFonts w:hint="eastAsia"/>
          <w:b w:val="1"/>
        </w:rPr>
        <w:t>45 分钟</w:t>
      </w:r>
      <w:r>
        <w:rPr>
          <w:rFonts w:hint="eastAsia"/>
        </w:rPr>
        <w:t>（阴雨高峰时段最长 70 分钟）</w:t>
      </w:r>
    </w:p>
    <w:p>
      <w:pPr>
        <w:numPr>
          <w:ilvl w:val="0"/>
          <w:numId w:val="1"/>
        </w:numPr>
      </w:pPr>
      <w:r>
        <w:rPr>
          <w:rFonts w:hint="eastAsia"/>
        </w:rPr>
        <w:t xml:space="preserve">预冷库温度 </w:t>
      </w:r>
      <w:r>
        <w:rPr>
          <w:b w:val="1"/>
        </w:rPr>
        <w:t>0–2℃</w:t>
      </w:r>
      <w:r>
        <w:rPr>
          <w:rFonts w:hint="eastAsia"/>
        </w:rPr>
        <w:t xml:space="preserve">，预冷后果心温度 </w:t>
      </w:r>
      <w:r>
        <w:rPr>
          <w:b w:val="1"/>
        </w:rPr>
        <w:t>≤5℃</w:t>
      </w:r>
      <w:r>
        <w:rPr>
          <w:rFonts w:hint="eastAsia"/>
        </w:rPr>
        <w:t>，每 2 小时记录一次库温</w:t>
      </w:r>
    </w:p>
    <w:p>
      <w:pPr>
        <w:numPr>
          <w:ilvl w:val="0"/>
          <w:numId w:val="1"/>
        </w:numPr>
      </w:pPr>
      <w:r>
        <w:rPr>
          <w:rFonts w:hint="eastAsia"/>
        </w:rPr>
        <w:t xml:space="preserve">本月冷库入库 </w:t>
      </w:r>
      <w:r>
        <w:rPr>
          <w:rFonts w:hint="eastAsia"/>
          <w:b w:val="1"/>
        </w:rPr>
        <w:t>74.1 吨</w:t>
      </w:r>
      <w:r>
        <w:rPr>
          <w:rFonts w:hint="eastAsia"/>
        </w:rPr>
        <w:t xml:space="preserve">；6 月 12 日机组发生 </w:t>
      </w:r>
      <w:r>
        <w:rPr>
          <w:rFonts w:hint="eastAsia"/>
          <w:b w:val="1"/>
        </w:rPr>
        <w:t>1 次报警故障，当日完成维修</w:t>
      </w:r>
      <w:r>
        <w:rPr>
          <w:rFonts w:hint="eastAsia"/>
        </w:rPr>
        <w:t>，未造成果品损失</w:t>
      </w:r>
    </w:p>
    <w:p>
      <w:pPr>
        <w:numPr>
          <w:ilvl w:val="0"/>
          <w:numId w:val="1"/>
        </w:numPr>
      </w:pPr>
      <w:r>
        <w:rPr>
          <w:rFonts w:hint="eastAsia"/>
        </w:rPr>
        <w:t xml:space="preserve">冷链运输：委托物流车辆配备温度记录仪，全程 </w:t>
      </w:r>
      <w:r>
        <w:rPr>
          <w:b w:val="1"/>
        </w:rPr>
        <w:t>0–6℃</w:t>
      </w:r>
      <w:r>
        <w:rPr>
          <w:rFonts w:hint="eastAsia"/>
        </w:rPr>
        <w:t>，随车温度记录单归档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3. 分选、包装与标识</w:t>
      </w:r>
    </w:p>
    <w:p>
      <w:pPr>
        <w:numPr>
          <w:ilvl w:val="0"/>
          <w:numId w:val="1"/>
        </w:numPr>
      </w:pPr>
      <w:r>
        <w:rPr>
          <w:rFonts w:hint="eastAsia"/>
          <w:b w:val="1"/>
        </w:rPr>
        <w:t>分选</w:t>
      </w:r>
      <w:r>
        <w:rPr>
          <w:rFonts w:hint="eastAsia"/>
        </w:rPr>
        <w:t xml:space="preserve">：分选机按果径、硬度、色泽分级运行，本月更换易损胶辊 </w:t>
      </w:r>
      <w:r>
        <w:rPr>
          <w:rFonts w:hint="eastAsia"/>
          <w:b w:val="1"/>
        </w:rPr>
        <w:t>2 套</w:t>
      </w:r>
      <w:r>
        <w:rPr>
          <w:rFonts w:hint="eastAsia"/>
        </w:rPr>
        <w:t>；分选前后均做人工复检</w:t>
      </w:r>
    </w:p>
    <w:p>
      <w:pPr>
        <w:numPr>
          <w:ilvl w:val="0"/>
          <w:numId w:val="1"/>
        </w:numPr>
      </w:pPr>
      <w:r>
        <w:rPr>
          <w:rFonts w:hint="eastAsia"/>
          <w:b w:val="1"/>
        </w:rPr>
        <w:t>包装</w:t>
      </w:r>
      <w:r>
        <w:rPr>
          <w:rFonts w:hint="eastAsia"/>
        </w:rPr>
        <w:t xml:space="preserve">：食品级包装盒，规格 </w:t>
      </w:r>
      <w:r>
        <w:rPr>
          <w:b w:val="1"/>
        </w:rPr>
        <w:t>125g / 250g / 500g</w:t>
      </w:r>
      <w:r>
        <w:rPr>
          <w:rFonts w:hint="eastAsia"/>
        </w:rPr>
        <w:t xml:space="preserve">；包装材料供应商三证齐全，本月采购 </w:t>
      </w:r>
      <w:r>
        <w:rPr>
          <w:rFonts w:hint="eastAsia"/>
          <w:b w:val="1"/>
        </w:rPr>
        <w:t>2,500 套</w:t>
      </w:r>
      <w:r>
        <w:rPr>
          <w:rFonts w:hint="eastAsia"/>
        </w:rPr>
        <w:t>，验收合格</w:t>
      </w:r>
    </w:p>
    <w:p>
      <w:pPr>
        <w:numPr>
          <w:ilvl w:val="0"/>
          <w:numId w:val="1"/>
        </w:numPr>
      </w:pPr>
      <w:r>
        <w:rPr>
          <w:rFonts w:hint="eastAsia"/>
          <w:b w:val="1"/>
        </w:rPr>
        <w:t>批次编码规则</w:t>
      </w:r>
      <w:r>
        <w:rPr>
          <w:rFonts w:hint="eastAsia"/>
        </w:rPr>
        <w:t>：</w:t>
      </w:r>
      <w:r>
        <w:rPr>
          <w:rFonts w:hint="eastAsia" w:ascii="Consolas" w:hAnsi="Consolas" w:eastAsia="Consolas" w:cs="Consolas"/>
          <w:shd w:val="clear" w:fill="f5f5f5"/>
        </w:rPr>
        <w:t>基地代码 - 地块号 - 采收日期 - 批次号</w:t>
      </w:r>
      <w:r>
        <w:rPr>
          <w:rFonts w:hint="eastAsia"/>
        </w:rPr>
        <w:t>（例：LG-03-20260618-05）</w:t>
      </w:r>
    </w:p>
    <w:p>
      <w:pPr>
        <w:numPr>
          <w:ilvl w:val="0"/>
          <w:numId w:val="1"/>
        </w:numPr>
      </w:pPr>
      <w:r>
        <w:rPr>
          <w:rFonts w:hint="eastAsia"/>
          <w:b w:val="1"/>
        </w:rPr>
        <w:t>追溯标识</w:t>
      </w:r>
      <w:r>
        <w:rPr>
          <w:rFonts w:hint="eastAsia"/>
        </w:rPr>
        <w:t>：一箱一码 / 一盒一码，扫码可查</w:t>
      </w:r>
      <w:r>
        <w:rPr>
          <w:rFonts w:hint="eastAsia"/>
          <w:b w:val="1"/>
        </w:rPr>
        <w:t>地块、采收日期、作业人员、用药记录、农残检测报告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4. 农残检测与质量追溯</w:t>
      </w:r>
    </w:p>
    <w:p>
      <w:pPr>
        <w:numPr>
          <w:ilvl w:val="0"/>
          <w:numId w:val="1"/>
        </w:numPr>
      </w:pPr>
      <w:r>
        <w:rPr>
          <w:rFonts w:hint="eastAsia"/>
        </w:rPr>
        <w:t xml:space="preserve">本月自检 </w:t>
      </w:r>
      <w:r>
        <w:rPr>
          <w:rFonts w:hint="eastAsia"/>
          <w:b w:val="1"/>
        </w:rPr>
        <w:t>32 批次</w:t>
      </w:r>
      <w:r>
        <w:rPr>
          <w:rFonts w:hint="eastAsia"/>
        </w:rPr>
        <w:t>，</w:t>
      </w:r>
      <w:r>
        <w:rPr>
          <w:rFonts w:hint="eastAsia"/>
          <w:b w:val="1"/>
        </w:rPr>
        <w:t>全部合格</w:t>
      </w:r>
      <w:r>
        <w:rPr>
          <w:rFonts w:hint="eastAsia"/>
        </w:rPr>
        <w:t xml:space="preserve">；第三方送检 </w:t>
      </w:r>
      <w:r>
        <w:rPr>
          <w:rFonts w:hint="eastAsia"/>
          <w:b w:val="1"/>
        </w:rPr>
        <w:t>2 批次</w:t>
      </w:r>
      <w:r>
        <w:rPr>
          <w:rFonts w:hint="eastAsia"/>
        </w:rPr>
        <w:t>，结果合格【按实际填写】</w:t>
      </w:r>
    </w:p>
    <w:p>
      <w:pPr>
        <w:numPr>
          <w:ilvl w:val="0"/>
          <w:numId w:val="1"/>
        </w:numPr>
      </w:pPr>
      <w:r>
        <w:rPr>
          <w:rFonts w:hint="eastAsia"/>
        </w:rPr>
        <w:t>检测项目：嘧菌酯、吡虫啉、腐霉利、多菌灵等常用药剂残留</w:t>
      </w:r>
    </w:p>
    <w:p>
      <w:pPr>
        <w:numPr>
          <w:ilvl w:val="0"/>
          <w:numId w:val="1"/>
        </w:numPr>
      </w:pPr>
      <w:r>
        <w:rPr>
          <w:rFonts w:hint="eastAsia"/>
        </w:rPr>
        <w:t>检测方法：</w:t>
      </w:r>
      <w:r>
        <w:rPr>
          <w:rFonts w:hint="eastAsia"/>
          <w:b w:val="1"/>
        </w:rPr>
        <w:t>GB 23200 系列</w:t>
      </w:r>
      <w:r>
        <w:rPr>
          <w:rFonts w:hint="eastAsia"/>
        </w:rPr>
        <w:t>；判定依据：</w:t>
      </w:r>
      <w:r>
        <w:rPr>
          <w:rFonts w:hint="eastAsia"/>
          <w:b w:val="1"/>
        </w:rPr>
        <w:t>GB 2763 食品安全国家标准 食品中农药最大残留限量</w:t>
      </w:r>
    </w:p>
    <w:p>
      <w:pPr>
        <w:numPr>
          <w:ilvl w:val="0"/>
          <w:numId w:val="1"/>
        </w:numPr>
      </w:pPr>
      <w:r>
        <w:rPr>
          <w:rFonts w:hint="eastAsia"/>
        </w:rPr>
        <w:t xml:space="preserve">留样管理：每批次留样 </w:t>
      </w:r>
      <w:r>
        <w:rPr>
          <w:b w:val="1"/>
        </w:rPr>
        <w:t>500g</w:t>
      </w:r>
      <w:r>
        <w:rPr>
          <w:rFonts w:hint="eastAsia"/>
        </w:rPr>
        <w:t>，</w:t>
      </w:r>
      <w:r>
        <w:rPr>
          <w:rFonts w:hint="eastAsia"/>
          <w:b w:val="1"/>
        </w:rPr>
        <w:t>0–4℃ 冷藏保存 6 个月</w:t>
      </w:r>
      <w:r>
        <w:rPr>
          <w:rFonts w:hint="eastAsia"/>
        </w:rPr>
        <w:t>，检测报告与留样台账同步归档</w:t>
      </w:r>
    </w:p>
    <w:p>
      <w:pPr>
        <w:numPr>
          <w:ilvl w:val="0"/>
          <w:numId w:val="1"/>
        </w:numPr>
      </w:pPr>
      <w:r>
        <w:rPr>
          <w:rFonts w:hint="eastAsia"/>
        </w:rPr>
        <w:t>追溯档案编号：GAP-QC-2026-06-01～32</w:t>
      </w:r>
    </w:p>
    <w:p>
      <w:pPr>
        <w:keepNext w:val="1"/>
        <w:keepLines w:val="1"/>
        <w:spacing w:before="100" w:beforeAutospacing="1" w:after="100" w:afterAutospacing="1"/>
        <w:outlineLvl w:val="1"/>
        <w:rPr>
          <w:sz w:val="32"/>
          <w:szCs w:val="32"/>
        </w:rPr>
      </w:pPr>
      <w:r>
        <w:rPr>
          <w:rFonts w:hint="eastAsia"/>
          <w:b w:val="1"/>
          <w:sz w:val="32"/>
        </w:rPr>
        <w:t>五、存在问题与整改措施（GAP 不符合项闭环）</w:t>
      </w:r>
    </w:p>
    <w:tbl>
      <w:tblPr>
        <w:tblW w:w="0" w:type="auto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86"/>
        <w:gridCol w:w="1186"/>
        <w:gridCol w:w="1186"/>
        <w:gridCol w:w="1186"/>
        <w:gridCol w:w="1186"/>
        <w:gridCol w:w="1186"/>
        <w:gridCol w:w="1186"/>
      </w:tblGrid>
      <w:tr>
        <w:trPr>
          <w:tblHeader w:val="1"/>
        </w:trPr>
        <w:tc>
          <w:tcPr>
            <w:tcW w:w="1186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序号</w:t>
            </w:r>
          </w:p>
        </w:tc>
        <w:tc>
          <w:tcPr>
            <w:tcW w:w="1186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问题描述</w:t>
            </w:r>
          </w:p>
        </w:tc>
        <w:tc>
          <w:tcPr>
            <w:tcW w:w="1186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风险等级</w:t>
            </w:r>
          </w:p>
        </w:tc>
        <w:tc>
          <w:tcPr>
            <w:tcW w:w="1186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整改措施</w:t>
            </w:r>
          </w:p>
        </w:tc>
        <w:tc>
          <w:tcPr>
            <w:tcW w:w="1186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责任人</w:t>
            </w:r>
          </w:p>
        </w:tc>
        <w:tc>
          <w:tcPr>
            <w:tcW w:w="1186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完成时限</w:t>
            </w:r>
          </w:p>
        </w:tc>
        <w:tc>
          <w:tcPr>
            <w:tcW w:w="1186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验证结果</w:t>
            </w:r>
          </w:p>
        </w:tc>
      </w:tr>
      <w:tr>
        <w:trPr/>
        <w:tc>
          <w:tcPr>
            <w:tcW w:w="1186" w:type="dxa"/>
          </w:tcPr>
          <w:p>
            <w:r>
              <w:t>1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 xml:space="preserve">综合损耗率 </w:t>
            </w:r>
            <w:r>
              <w:rPr>
                <w:b w:val="1"/>
              </w:rPr>
              <w:t>10.5%</w:t>
            </w:r>
            <w:r>
              <w:rPr>
                <w:rFonts w:hint="eastAsia"/>
              </w:rPr>
              <w:t>，超内控 ≤8%</w:t>
            </w:r>
          </w:p>
        </w:tc>
        <w:tc>
          <w:tcPr>
            <w:tcW w:w="1186" w:type="dxa"/>
          </w:tcPr>
          <w:p>
            <w:r>
              <w:rPr>
                <w:rFonts w:hint="eastAsia"/>
                <w:b w:val="1"/>
              </w:rPr>
              <w:t>高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预冷间隔压缩至 30 分钟内；优化分级分拣流程，减少人为损耗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张建国</w:t>
            </w:r>
          </w:p>
        </w:tc>
        <w:tc>
          <w:tcPr>
            <w:tcW w:w="1186" w:type="dxa"/>
          </w:tcPr>
          <w:p>
            <w:r>
              <w:t>07-15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待验证</w:t>
            </w:r>
          </w:p>
        </w:tc>
      </w:tr>
      <w:tr>
        <w:trPr/>
        <w:tc>
          <w:tcPr>
            <w:tcW w:w="1186" w:type="dxa"/>
          </w:tcPr>
          <w:p>
            <w:r>
              <w:t>2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 xml:space="preserve">一级果率 </w:t>
            </w:r>
            <w:r>
              <w:rPr>
                <w:b w:val="1"/>
              </w:rPr>
              <w:t>67.5%</w:t>
            </w:r>
            <w:r>
              <w:rPr>
                <w:rFonts w:hint="eastAsia"/>
              </w:rPr>
              <w:t>，未达 70% 目标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中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改为清晨低温采摘，缩短预冷等待，雨季提前疏果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张建国</w:t>
            </w:r>
          </w:p>
        </w:tc>
        <w:tc>
          <w:tcPr>
            <w:tcW w:w="1186" w:type="dxa"/>
          </w:tcPr>
          <w:p>
            <w:r>
              <w:t>07-10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待验证</w:t>
            </w:r>
          </w:p>
        </w:tc>
      </w:tr>
      <w:tr>
        <w:trPr/>
        <w:tc>
          <w:tcPr>
            <w:tcW w:w="1186" w:type="dxa"/>
          </w:tcPr>
          <w:p>
            <w:r>
              <w:t>3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雨季灰霉病防控压力大</w:t>
            </w:r>
          </w:p>
        </w:tc>
        <w:tc>
          <w:tcPr>
            <w:tcW w:w="1186" w:type="dxa"/>
          </w:tcPr>
          <w:p>
            <w:r>
              <w:rPr>
                <w:rFonts w:hint="eastAsia"/>
                <w:b w:val="1"/>
              </w:rPr>
              <w:t>高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增加大棚通风排湿，雨后及时保护性用药，加密巡园频次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张建国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持续执行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进行中</w:t>
            </w:r>
          </w:p>
        </w:tc>
      </w:tr>
      <w:tr>
        <w:trPr/>
        <w:tc>
          <w:tcPr>
            <w:tcW w:w="1186" w:type="dxa"/>
          </w:tcPr>
          <w:p>
            <w:r>
              <w:t>4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分选设备小故障频次偏高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中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7 月上旬完成分选设备全面保养检修，备件库存补足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赵强</w:t>
            </w:r>
          </w:p>
        </w:tc>
        <w:tc>
          <w:tcPr>
            <w:tcW w:w="1186" w:type="dxa"/>
          </w:tcPr>
          <w:p>
            <w:r>
              <w:t>07-10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待验证</w:t>
            </w:r>
          </w:p>
        </w:tc>
      </w:tr>
      <w:tr>
        <w:trPr/>
        <w:tc>
          <w:tcPr>
            <w:tcW w:w="1186" w:type="dxa"/>
          </w:tcPr>
          <w:p>
            <w:r>
              <w:t>5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采收高峰临时用工缺口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中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人事加大周边临时工招募，建立用工储备池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刘芳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持续执行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进行中</w:t>
            </w:r>
          </w:p>
        </w:tc>
      </w:tr>
    </w:tbl>
    <w:p>
      <w:pPr>
        <w:keepNext w:val="1"/>
        <w:keepLines w:val="1"/>
        <w:spacing w:before="100" w:beforeAutospacing="1" w:after="100" w:afterAutospacing="1"/>
        <w:outlineLvl w:val="1"/>
        <w:rPr>
          <w:sz w:val="32"/>
          <w:szCs w:val="32"/>
        </w:rPr>
      </w:pPr>
      <w:r>
        <w:rPr>
          <w:rFonts w:hint="eastAsia"/>
          <w:b w:val="1"/>
          <w:sz w:val="32"/>
        </w:rPr>
        <w:t>六、下月工作计划（7 月）</w:t>
      </w:r>
    </w:p>
    <w:p>
      <w:pPr>
        <w:numPr>
          <w:ilvl w:val="0"/>
          <w:numId w:val="2"/>
        </w:numPr>
      </w:pPr>
      <w:r>
        <w:rPr>
          <w:rFonts w:hint="eastAsia"/>
          <w:b w:val="1"/>
        </w:rPr>
        <w:t>完成尾期采收</w:t>
      </w:r>
      <w:r>
        <w:rPr>
          <w:rFonts w:hint="eastAsia"/>
        </w:rPr>
        <w:t xml:space="preserve">，预计产量 </w:t>
      </w:r>
      <w:r>
        <w:rPr>
          <w:rFonts w:hint="eastAsia"/>
          <w:b w:val="1"/>
        </w:rPr>
        <w:t>42 吨</w:t>
      </w:r>
      <w:r>
        <w:rPr>
          <w:rFonts w:hint="eastAsia"/>
        </w:rPr>
        <w:t xml:space="preserve">，严控损耗率 </w:t>
      </w:r>
      <w:r>
        <w:rPr>
          <w:b w:val="1"/>
        </w:rPr>
        <w:t>≤9%</w:t>
      </w:r>
    </w:p>
    <w:p>
      <w:pPr>
        <w:numPr>
          <w:ilvl w:val="0"/>
          <w:numId w:val="2"/>
        </w:numPr>
      </w:pPr>
      <w:r>
        <w:rPr>
          <w:rFonts w:hint="eastAsia"/>
        </w:rPr>
        <w:t>采收结束后启动</w:t>
      </w:r>
      <w:r>
        <w:rPr>
          <w:rFonts w:hint="eastAsia"/>
          <w:b w:val="1"/>
        </w:rPr>
        <w:t>采后修剪、土壤调理</w:t>
      </w:r>
    </w:p>
    <w:p>
      <w:pPr>
        <w:numPr>
          <w:ilvl w:val="0"/>
          <w:numId w:val="2"/>
        </w:numPr>
      </w:pPr>
      <w:r>
        <w:rPr>
          <w:rFonts w:hint="eastAsia"/>
          <w:b w:val="1"/>
        </w:rPr>
        <w:t>冷库、分选设备全面检修保养</w:t>
      </w:r>
    </w:p>
    <w:p>
      <w:pPr>
        <w:numPr>
          <w:ilvl w:val="0"/>
          <w:numId w:val="2"/>
        </w:numPr>
      </w:pPr>
      <w:r>
        <w:rPr>
          <w:rFonts w:hint="eastAsia"/>
        </w:rPr>
        <w:t>完成</w:t>
      </w:r>
      <w:r>
        <w:rPr>
          <w:rFonts w:hint="eastAsia"/>
          <w:b w:val="1"/>
        </w:rPr>
        <w:t>下半年肥料物资需求统计</w:t>
      </w:r>
      <w:r>
        <w:rPr>
          <w:rFonts w:hint="eastAsia"/>
        </w:rPr>
        <w:t>并提交采购</w:t>
      </w:r>
    </w:p>
    <w:p>
      <w:pPr>
        <w:numPr>
          <w:ilvl w:val="0"/>
          <w:numId w:val="2"/>
        </w:numPr>
      </w:pPr>
      <w:r>
        <w:rPr>
          <w:rFonts w:hint="eastAsia"/>
        </w:rPr>
        <w:t xml:space="preserve">完成本月 </w:t>
      </w:r>
      <w:r>
        <w:rPr>
          <w:rFonts w:hint="eastAsia"/>
          <w:b w:val="1"/>
        </w:rPr>
        <w:t>GAP 台账归档与内部自查</w:t>
      </w:r>
      <w:r>
        <w:rPr>
          <w:rFonts w:hint="eastAsia"/>
        </w:rPr>
        <w:t>（含用药记录、检测报告、整改闭环）</w:t>
      </w:r>
    </w:p>
    <w:p>
      <w:pPr>
        <w:numPr>
          <w:ilvl w:val="0"/>
          <w:numId w:val="2"/>
        </w:numPr>
      </w:pPr>
      <w:r>
        <w:rPr>
          <w:rFonts w:hint="eastAsia"/>
        </w:rPr>
        <w:t>资源申请：分选机备用配件一批；预备 7–8 月土壤改良物料预算</w:t>
      </w:r>
    </w:p>
    <w:p>
      <w:pPr>
        <w:keepNext w:val="1"/>
        <w:keepLines w:val="1"/>
        <w:spacing w:before="100" w:beforeAutospacing="1" w:after="100" w:afterAutospacing="1"/>
        <w:outlineLvl w:val="1"/>
        <w:rPr>
          <w:sz w:val="32"/>
          <w:szCs w:val="32"/>
        </w:rPr>
      </w:pPr>
      <w:r>
        <w:rPr>
          <w:rFonts w:hint="eastAsia"/>
          <w:b w:val="1"/>
          <w:sz w:val="32"/>
        </w:rPr>
        <w:t>七、审批与归档</w:t>
      </w:r>
    </w:p>
    <w:tbl>
      <w:tblPr>
        <w:tblW w:w="0" w:type="auto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76"/>
        <w:gridCol w:w="2076"/>
        <w:gridCol w:w="2076"/>
        <w:gridCol w:w="2076"/>
      </w:tblGrid>
      <w:tr>
        <w:trPr>
          <w:tblHeader w:val="1"/>
        </w:trPr>
        <w:tc>
          <w:tcPr>
            <w:tcW w:w="2076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环节</w:t>
            </w:r>
          </w:p>
        </w:tc>
        <w:tc>
          <w:tcPr>
            <w:tcW w:w="2076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姓名</w:t>
            </w:r>
          </w:p>
        </w:tc>
        <w:tc>
          <w:tcPr>
            <w:tcW w:w="2076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签字</w:t>
            </w:r>
          </w:p>
        </w:tc>
        <w:tc>
          <w:tcPr>
            <w:tcW w:w="2076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日期</w:t>
            </w:r>
          </w:p>
        </w:tc>
      </w:tr>
      <w:tr>
        <w:trPr/>
        <w:tc>
          <w:tcPr>
            <w:tcW w:w="2076" w:type="dxa"/>
          </w:tcPr>
          <w:p>
            <w:r>
              <w:rPr>
                <w:rFonts w:hint="eastAsia"/>
              </w:rPr>
              <w:t>编制（生产部）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张建国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（签字）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（日期）</w:t>
            </w:r>
          </w:p>
        </w:tc>
      </w:tr>
      <w:tr>
        <w:trPr/>
        <w:tc>
          <w:tcPr>
            <w:tcW w:w="2076" w:type="dxa"/>
          </w:tcPr>
          <w:p>
            <w:r>
              <w:rPr>
                <w:rFonts w:hint="eastAsia"/>
              </w:rPr>
              <w:t>审核（生产主管）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刘主管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（签字）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（日期）</w:t>
            </w:r>
          </w:p>
        </w:tc>
      </w:tr>
      <w:tr>
        <w:trPr/>
        <w:tc>
          <w:tcPr>
            <w:tcW w:w="2076" w:type="dxa"/>
          </w:tcPr>
          <w:p>
            <w:r>
              <w:rPr>
                <w:rFonts w:hint="eastAsia"/>
              </w:rPr>
              <w:t>批准（基地负责人）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（姓名）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（签字）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（日期）</w:t>
            </w:r>
          </w:p>
        </w:tc>
      </w:tr>
    </w:tbl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归档清单（GAP 复审必备）</w:t>
      </w:r>
    </w:p>
    <w:p>
      <w:pPr>
        <w:numPr>
          <w:ilvl w:val="0"/>
          <w:numId w:val="1"/>
        </w:numPr>
      </w:pPr>
      <w:r>
        <w:rPr>
          <w:rFonts w:hint="eastAsia"/>
        </w:rPr>
        <w:t>[ ] 月度气候与物候记录表</w:t>
      </w:r>
    </w:p>
    <w:p>
      <w:pPr>
        <w:numPr>
          <w:ilvl w:val="0"/>
          <w:numId w:val="1"/>
        </w:numPr>
      </w:pPr>
      <w:r>
        <w:rPr>
          <w:rFonts w:hint="eastAsia"/>
        </w:rPr>
        <w:t>[ ] 土壤 / 灌溉水 / 空气检测记录</w:t>
      </w:r>
    </w:p>
    <w:p>
      <w:pPr>
        <w:numPr>
          <w:ilvl w:val="0"/>
          <w:numId w:val="1"/>
        </w:numPr>
      </w:pPr>
      <w:r>
        <w:rPr>
          <w:rFonts w:hint="eastAsia"/>
        </w:rPr>
        <w:t>[ ] 投入品（肥料、农药）采购与使用台账</w:t>
      </w:r>
    </w:p>
    <w:p>
      <w:pPr>
        <w:numPr>
          <w:ilvl w:val="0"/>
          <w:numId w:val="1"/>
        </w:numPr>
      </w:pPr>
      <w:r>
        <w:rPr>
          <w:rFonts w:hint="eastAsia"/>
        </w:rPr>
        <w:t>[ ] 植保用药记录（含安全间隔期）</w:t>
      </w:r>
    </w:p>
    <w:p>
      <w:pPr>
        <w:numPr>
          <w:ilvl w:val="0"/>
          <w:numId w:val="1"/>
        </w:numPr>
      </w:pPr>
      <w:r>
        <w:rPr>
          <w:rFonts w:hint="eastAsia"/>
        </w:rPr>
        <w:t>[ ] 采收分级统计记录</w:t>
      </w:r>
    </w:p>
    <w:p>
      <w:pPr>
        <w:numPr>
          <w:ilvl w:val="0"/>
          <w:numId w:val="1"/>
        </w:numPr>
      </w:pPr>
      <w:r>
        <w:rPr>
          <w:rFonts w:hint="eastAsia"/>
        </w:rPr>
        <w:t>[ ] 预冷与冷链温度记录</w:t>
      </w:r>
    </w:p>
    <w:p>
      <w:pPr>
        <w:numPr>
          <w:ilvl w:val="0"/>
          <w:numId w:val="1"/>
        </w:numPr>
      </w:pPr>
      <w:r>
        <w:rPr>
          <w:rFonts w:hint="eastAsia"/>
        </w:rPr>
        <w:t>[ ] 包装标识与批次编码记录</w:t>
      </w:r>
    </w:p>
    <w:p>
      <w:pPr>
        <w:numPr>
          <w:ilvl w:val="0"/>
          <w:numId w:val="1"/>
        </w:numPr>
      </w:pPr>
      <w:r>
        <w:rPr>
          <w:rFonts w:hint="eastAsia"/>
        </w:rPr>
        <w:t>[ ] 农残检测报告与留样台账</w:t>
      </w:r>
    </w:p>
    <w:p>
      <w:pPr>
        <w:numPr>
          <w:ilvl w:val="0"/>
          <w:numId w:val="1"/>
        </w:numPr>
      </w:pPr>
      <w:r>
        <w:rPr>
          <w:rFonts w:hint="eastAsia"/>
        </w:rPr>
        <w:t>[ ] 不符合项整改闭环记录</w:t>
      </w:r>
    </w:p>
    <w:p>
      <w:pPr>
        <w:numPr>
          <w:ilvl w:val="0"/>
          <w:numId w:val="1"/>
        </w:numPr>
      </w:pPr>
      <w:r>
        <w:rPr>
          <w:rFonts w:hint="eastAsia"/>
        </w:rPr>
        <w:t>[ ] 培训签到与影像资料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保存要求</w:t>
      </w:r>
    </w:p>
    <w:p>
      <w:pPr>
        <w:numPr>
          <w:ilvl w:val="0"/>
          <w:numId w:val="1"/>
        </w:numPr>
      </w:pPr>
      <w:r>
        <w:rPr>
          <w:rFonts w:hint="eastAsia"/>
          <w:b w:val="1"/>
        </w:rPr>
        <w:t>纸质档案</w:t>
      </w:r>
      <w:r>
        <w:rPr>
          <w:rFonts w:hint="eastAsia"/>
        </w:rPr>
        <w:t xml:space="preserve">：保存不少于 </w:t>
      </w:r>
      <w:r>
        <w:rPr>
          <w:rFonts w:hint="eastAsia"/>
          <w:b w:val="1"/>
        </w:rPr>
        <w:t>2 年</w:t>
      </w:r>
      <w:r>
        <w:rPr>
          <w:rFonts w:hint="eastAsia"/>
        </w:rPr>
        <w:t>（建议 3 年），按年度装订、编号上架</w:t>
      </w:r>
    </w:p>
    <w:p>
      <w:pPr>
        <w:numPr>
          <w:ilvl w:val="0"/>
          <w:numId w:val="1"/>
        </w:numPr>
      </w:pPr>
      <w:r>
        <w:rPr>
          <w:rFonts w:hint="eastAsia"/>
          <w:b w:val="1"/>
        </w:rPr>
        <w:t>电子台账</w:t>
      </w:r>
      <w:r>
        <w:rPr>
          <w:rFonts w:hint="eastAsia"/>
        </w:rPr>
        <w:t>：同步录入简道云生产管理表单，支持按地块 / 批次 / 日期一键导出，用于复审与溯源</w:t>
      </w:r>
    </w:p>
    <w:p>
      <w:pPr>
        <w:keepNext w:val="1"/>
        <w:keepLines w:val="1"/>
        <w:spacing w:before="100" w:beforeAutospacing="1" w:after="100" w:afterAutospacing="1"/>
        <w:outlineLvl w:val="1"/>
        <w:rPr>
          <w:sz w:val="32"/>
          <w:szCs w:val="32"/>
        </w:rPr>
      </w:pPr>
      <w:r>
        <w:rPr>
          <w:rFonts w:hint="eastAsia"/>
          <w:b w:val="1"/>
          <w:sz w:val="32"/>
        </w:rPr>
        <w:t>附：GAP 月度自查清单</w:t>
      </w:r>
    </w:p>
    <w:tbl>
      <w:tblPr>
        <w:tblW w:w="0" w:type="auto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68"/>
        <w:gridCol w:w="2768"/>
        <w:gridCol w:w="2768"/>
      </w:tblGrid>
      <w:tr>
        <w:trPr>
          <w:tblHeader w:val="1"/>
        </w:trPr>
        <w:tc>
          <w:tcPr>
            <w:tcW w:w="2768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自查项</w:t>
            </w:r>
          </w:p>
        </w:tc>
        <w:tc>
          <w:tcPr>
            <w:tcW w:w="2768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达标</w:t>
            </w:r>
          </w:p>
        </w:tc>
        <w:tc>
          <w:tcPr>
            <w:tcW w:w="2768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说明</w:t>
            </w:r>
          </w:p>
        </w:tc>
      </w:tr>
      <w:tr>
        <w:trPr/>
        <w:tc>
          <w:tcPr>
            <w:tcW w:w="2768" w:type="dxa"/>
          </w:tcPr>
          <w:p>
            <w:r>
              <w:rPr>
                <w:rFonts w:hint="eastAsia"/>
              </w:rPr>
              <w:t>土壤 PH / EC / 含水量按周检测并记录</w:t>
            </w:r>
          </w:p>
        </w:tc>
        <w:tc>
          <w:tcPr>
            <w:tcW w:w="2768" w:type="dxa"/>
          </w:tcPr>
          <w:p>
            <w:r>
              <w:t>☑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达标</w:t>
            </w:r>
          </w:p>
        </w:tc>
      </w:tr>
      <w:tr>
        <w:trPr/>
        <w:tc>
          <w:tcPr>
            <w:tcW w:w="2768" w:type="dxa"/>
          </w:tcPr>
          <w:p>
            <w:r>
              <w:rPr>
                <w:rFonts w:hint="eastAsia"/>
              </w:rPr>
              <w:t>灌溉水、空气符合对应国标</w:t>
            </w:r>
          </w:p>
        </w:tc>
        <w:tc>
          <w:tcPr>
            <w:tcW w:w="2768" w:type="dxa"/>
          </w:tcPr>
          <w:p>
            <w:r>
              <w:t>☑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达标</w:t>
            </w:r>
          </w:p>
        </w:tc>
      </w:tr>
      <w:tr>
        <w:trPr/>
        <w:tc>
          <w:tcPr>
            <w:tcW w:w="2768" w:type="dxa"/>
          </w:tcPr>
          <w:p>
            <w:r>
              <w:rPr>
                <w:rFonts w:hint="eastAsia"/>
              </w:rPr>
              <w:t>肥料三证齐全、无高氮滥用</w:t>
            </w:r>
          </w:p>
        </w:tc>
        <w:tc>
          <w:tcPr>
            <w:tcW w:w="2768" w:type="dxa"/>
          </w:tcPr>
          <w:p>
            <w:r>
              <w:t>☑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达标</w:t>
            </w:r>
          </w:p>
        </w:tc>
      </w:tr>
      <w:tr>
        <w:trPr/>
        <w:tc>
          <w:tcPr>
            <w:tcW w:w="2768" w:type="dxa"/>
          </w:tcPr>
          <w:p>
            <w:r>
              <w:rPr>
                <w:rFonts w:hint="eastAsia"/>
              </w:rPr>
              <w:t>农药合规、无禁限用药、安全间隔期达标</w:t>
            </w:r>
          </w:p>
        </w:tc>
        <w:tc>
          <w:tcPr>
            <w:tcW w:w="2768" w:type="dxa"/>
          </w:tcPr>
          <w:p>
            <w:r>
              <w:t>☑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达标</w:t>
            </w:r>
          </w:p>
        </w:tc>
      </w:tr>
      <w:tr>
        <w:trPr/>
        <w:tc>
          <w:tcPr>
            <w:tcW w:w="2768" w:type="dxa"/>
          </w:tcPr>
          <w:p>
            <w:r>
              <w:rPr>
                <w:rFonts w:hint="eastAsia"/>
              </w:rPr>
              <w:t>用药记录五要素齐全（时间/地块/人员/农资/剂量）</w:t>
            </w:r>
          </w:p>
        </w:tc>
        <w:tc>
          <w:tcPr>
            <w:tcW w:w="2768" w:type="dxa"/>
          </w:tcPr>
          <w:p>
            <w:r>
              <w:t>☑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达标</w:t>
            </w:r>
          </w:p>
        </w:tc>
      </w:tr>
      <w:tr>
        <w:trPr/>
        <w:tc>
          <w:tcPr>
            <w:tcW w:w="2768" w:type="dxa"/>
          </w:tcPr>
          <w:p>
            <w:r>
              <w:rPr>
                <w:rFonts w:hint="eastAsia"/>
              </w:rPr>
              <w:t>采收分级统计完整、损耗率在控</w:t>
            </w:r>
          </w:p>
        </w:tc>
        <w:tc>
          <w:tcPr>
            <w:tcW w:w="2768" w:type="dxa"/>
          </w:tcPr>
          <w:p>
            <w:r>
              <w:t>☐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本月超标，见整改项 1</w:t>
            </w:r>
          </w:p>
        </w:tc>
      </w:tr>
      <w:tr>
        <w:trPr/>
        <w:tc>
          <w:tcPr>
            <w:tcW w:w="2768" w:type="dxa"/>
          </w:tcPr>
          <w:p>
            <w:r>
              <w:rPr>
                <w:rFonts w:hint="eastAsia"/>
              </w:rPr>
              <w:t>预冷及时、冷链温度记录完整</w:t>
            </w:r>
          </w:p>
        </w:tc>
        <w:tc>
          <w:tcPr>
            <w:tcW w:w="2768" w:type="dxa"/>
          </w:tcPr>
          <w:p>
            <w:r>
              <w:t>☐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预冷间隔超 30 分钟，见整改项 1</w:t>
            </w:r>
          </w:p>
        </w:tc>
      </w:tr>
      <w:tr>
        <w:trPr/>
        <w:tc>
          <w:tcPr>
            <w:tcW w:w="2768" w:type="dxa"/>
          </w:tcPr>
          <w:p>
            <w:r>
              <w:rPr>
                <w:rFonts w:hint="eastAsia"/>
              </w:rPr>
              <w:t>包装标识可追溯（批次码/溯源码）</w:t>
            </w:r>
          </w:p>
        </w:tc>
        <w:tc>
          <w:tcPr>
            <w:tcW w:w="2768" w:type="dxa"/>
          </w:tcPr>
          <w:p>
            <w:r>
              <w:t>☑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达标</w:t>
            </w:r>
          </w:p>
        </w:tc>
      </w:tr>
      <w:tr>
        <w:trPr/>
        <w:tc>
          <w:tcPr>
            <w:tcW w:w="2768" w:type="dxa"/>
          </w:tcPr>
          <w:p>
            <w:r>
              <w:rPr>
                <w:rFonts w:hint="eastAsia"/>
              </w:rPr>
              <w:t>农残检测按批进行、留样 6 个月</w:t>
            </w:r>
          </w:p>
        </w:tc>
        <w:tc>
          <w:tcPr>
            <w:tcW w:w="2768" w:type="dxa"/>
          </w:tcPr>
          <w:p>
            <w:r>
              <w:t>☑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达标</w:t>
            </w:r>
          </w:p>
        </w:tc>
      </w:tr>
      <w:tr>
        <w:trPr/>
        <w:tc>
          <w:tcPr>
            <w:tcW w:w="2768" w:type="dxa"/>
          </w:tcPr>
          <w:p>
            <w:r>
              <w:rPr>
                <w:rFonts w:hint="eastAsia"/>
              </w:rPr>
              <w:t>人员培训有签到与影像归档</w:t>
            </w:r>
          </w:p>
        </w:tc>
        <w:tc>
          <w:tcPr>
            <w:tcW w:w="2768" w:type="dxa"/>
          </w:tcPr>
          <w:p>
            <w:r>
              <w:t>☑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达标</w:t>
            </w:r>
          </w:p>
        </w:tc>
      </w:tr>
      <w:tr>
        <w:trPr/>
        <w:tc>
          <w:tcPr>
            <w:tcW w:w="2768" w:type="dxa"/>
          </w:tcPr>
          <w:p>
            <w:r>
              <w:rPr>
                <w:rFonts w:hint="eastAsia"/>
              </w:rPr>
              <w:t>不符合项有整改、责任人、时限、验证</w:t>
            </w:r>
          </w:p>
        </w:tc>
        <w:tc>
          <w:tcPr>
            <w:tcW w:w="2768" w:type="dxa"/>
          </w:tcPr>
          <w:p>
            <w:r>
              <w:t>☑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5 项闭环中</w:t>
            </w:r>
          </w:p>
        </w:tc>
      </w:tr>
    </w:tbl>
    <w:p>
      <w:pPr>
        <w:ind w:left="240"/>
      </w:pPr>
      <w:r>
        <w:rPr>
          <w:rFonts w:hint="eastAsia"/>
        </w:rPr>
        <w:t>⚠️ 再次提示：</w:t>
      </w:r>
      <w:r>
        <w:rPr>
          <w:rFonts w:hint="eastAsia"/>
          <w:b w:val="1"/>
        </w:rPr>
        <w:t>以上全部数据为「样例数据，仅作演示」</w:t>
      </w:r>
      <w:r>
        <w:rPr>
          <w:rFonts w:hint="eastAsia"/>
        </w:rPr>
        <w:t>。交付客户前必须替换为实际数据，并核对第四章分级、第五章整改与第六章计划之间的数字一致性。</w:t>
      </w:r>
    </w:p>
    <w:p/>
    <w:sectPr/>
  </w:body>
</w:document>
</file>

<file path=word/fontTable.xml><?xml version="1.0" encoding="utf-8"?>
<w:fonts xmlns:w="http://schemas.openxmlformats.org/wordprocessingml/2006/main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="http://schemas.openxmlformats.org/wordprocessingml/2006/main">
  <w:abstractNum w:abstractNumId="0">
    <w:lvl w:ilvl="0">
      <w:start w:val="1"/>
      <w:numFmt w:val="decimal"/>
      <w:lvlText w:val="%1."/>
      <w:lvlJc w:val="left"/>
      <w:pPr>
        <w:ind w:left="420" w:hanging="420"/>
      </w:pPr>
    </w:lvl>
  </w:abstractNum>
  <w:abstractNum w:abstractNumId="1">
    <w:lvl w:ilvl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>
  <w:zoom w:val="bestFit" w:percent="100"/>
  <w:defaultTabStop w:val="420"/>
  <w:compat>
    <w:spaceForUL w:val="1"/>
    <w:balanceSingleByteDoubleByteWidth w:val="1"/>
    <w:doNotLeaveBackslashAlone w:val="1"/>
    <w:ulTrailSpace w:val="1"/>
    <w:doNotExpandShiftReturn w:val="1"/>
    <w:adjustLineHeightInTable w:val="1"/>
    <w:useFELayout w:val="1"/>
  </w:compat>
</w:settings>
</file>

<file path=word/styles.xml><?xml version="1.0" encoding="utf-8"?>
<w:style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0" Type="http://schemas.openxmlformats.org/officeDocument/2006/relationships/styles" Target="styles.xml" /><Relationship Id="rId1" Type="http://schemas.openxmlformats.org/officeDocument/2006/relationships/settings" Target="settings.xml" /><Relationship Id="rId4" Type="http://schemas.openxmlformats.org/officeDocument/2006/relationships/numbering" Target="numbering.xml" /><Relationship Id="rId2" Type="http://schemas.openxmlformats.org/officeDocument/2006/relationships/fontTable" Target="fontTable.xml" /><Relationship Id="rId3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Tencent 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2026-08-29T19:47:04Z</dcterms:created>
  <dcterms:modified xsi:type="dcterms:W3CDTF">2026-08-29T19:47:04Z</dcterms:modified>
</cp:coreProperties>
</file>